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2B906" w14:textId="77777777" w:rsidR="00AD5E68" w:rsidRPr="00D935DA" w:rsidRDefault="00AD5E68" w:rsidP="00AD5E68">
      <w:pPr>
        <w:rPr>
          <w:rFonts w:cstheme="minorHAnsi"/>
          <w:color w:val="FF0000"/>
          <w:sz w:val="22"/>
          <w:szCs w:val="22"/>
        </w:rPr>
      </w:pPr>
    </w:p>
    <w:p w14:paraId="3C511E4E" w14:textId="7C271A7D" w:rsidR="00AD5E68" w:rsidRPr="00D935DA" w:rsidRDefault="00AD5E68" w:rsidP="00AD5E68">
      <w:pPr>
        <w:jc w:val="center"/>
        <w:rPr>
          <w:rFonts w:cstheme="minorHAnsi"/>
          <w:b/>
          <w:bCs/>
          <w:noProof/>
          <w:color w:val="FF0000"/>
          <w:sz w:val="22"/>
          <w:szCs w:val="22"/>
        </w:rPr>
      </w:pPr>
      <w:r w:rsidRPr="00D935DA">
        <w:rPr>
          <w:rFonts w:cstheme="minorHAnsi"/>
          <w:b/>
          <w:bCs/>
          <w:noProof/>
          <w:color w:val="FF0000"/>
          <w:sz w:val="22"/>
          <w:szCs w:val="22"/>
        </w:rPr>
        <w:t xml:space="preserve">Sample Letter of </w:t>
      </w:r>
      <w:r w:rsidR="00C113C8" w:rsidRPr="00D935DA">
        <w:rPr>
          <w:rFonts w:cstheme="minorHAnsi"/>
          <w:b/>
          <w:bCs/>
          <w:noProof/>
          <w:color w:val="FF0000"/>
          <w:sz w:val="22"/>
          <w:szCs w:val="22"/>
        </w:rPr>
        <w:t>Appeal</w:t>
      </w:r>
      <w:r w:rsidRPr="00D935DA">
        <w:rPr>
          <w:rFonts w:cstheme="minorHAnsi"/>
          <w:b/>
          <w:bCs/>
          <w:noProof/>
          <w:color w:val="FF0000"/>
          <w:sz w:val="22"/>
          <w:szCs w:val="22"/>
        </w:rPr>
        <w:t xml:space="preserve"> for IDACIO</w:t>
      </w:r>
      <w:r w:rsidRPr="00D935DA">
        <w:rPr>
          <w:rFonts w:cstheme="minorHAnsi"/>
          <w:b/>
          <w:bCs/>
          <w:noProof/>
          <w:color w:val="FF0000"/>
          <w:sz w:val="22"/>
          <w:szCs w:val="22"/>
          <w:vertAlign w:val="superscript"/>
        </w:rPr>
        <w:t>®</w:t>
      </w:r>
      <w:r w:rsidRPr="00D935DA">
        <w:rPr>
          <w:rFonts w:cstheme="minorHAnsi"/>
          <w:b/>
          <w:bCs/>
          <w:noProof/>
          <w:color w:val="FF0000"/>
          <w:sz w:val="22"/>
          <w:szCs w:val="22"/>
        </w:rPr>
        <w:t xml:space="preserve"> (adalimumab-aacf)</w:t>
      </w:r>
    </w:p>
    <w:p w14:paraId="0F046B62" w14:textId="77777777" w:rsidR="00AD5E68" w:rsidRPr="00D935DA" w:rsidRDefault="00AD5E68" w:rsidP="00AD5E68">
      <w:pPr>
        <w:jc w:val="center"/>
        <w:rPr>
          <w:rFonts w:cstheme="minorHAnsi"/>
          <w:b/>
          <w:bCs/>
          <w:noProof/>
          <w:color w:val="FF0000"/>
          <w:sz w:val="22"/>
          <w:szCs w:val="22"/>
        </w:rPr>
      </w:pPr>
    </w:p>
    <w:p w14:paraId="3798484C" w14:textId="0DD3502F" w:rsidR="00AD5E68" w:rsidRPr="00D935DA" w:rsidRDefault="00AD5E68" w:rsidP="00AD5E68">
      <w:pPr>
        <w:rPr>
          <w:rFonts w:cstheme="minorHAnsi"/>
          <w:b/>
          <w:bCs/>
          <w:noProof/>
          <w:color w:val="FF0000"/>
          <w:sz w:val="22"/>
          <w:szCs w:val="22"/>
        </w:rPr>
      </w:pPr>
      <w:r w:rsidRPr="00D935DA">
        <w:rPr>
          <w:rFonts w:cstheme="minorHAnsi"/>
          <w:b/>
          <w:bCs/>
          <w:noProof/>
          <w:color w:val="FF0000"/>
          <w:sz w:val="22"/>
          <w:szCs w:val="22"/>
        </w:rPr>
        <w:t xml:space="preserve">[Instructions:  Before getting started, check if the health plan has its own request form for supporting </w:t>
      </w:r>
      <w:r w:rsidR="00AF475E" w:rsidRPr="00D935DA">
        <w:rPr>
          <w:rFonts w:cstheme="minorHAnsi"/>
          <w:b/>
          <w:bCs/>
          <w:noProof/>
          <w:color w:val="FF0000"/>
          <w:sz w:val="22"/>
          <w:szCs w:val="22"/>
        </w:rPr>
        <w:t>appeals</w:t>
      </w:r>
      <w:r w:rsidRPr="00D935DA">
        <w:rPr>
          <w:rFonts w:cstheme="minorHAnsi"/>
          <w:b/>
          <w:bCs/>
          <w:noProof/>
          <w:color w:val="FF0000"/>
          <w:sz w:val="22"/>
          <w:szCs w:val="22"/>
        </w:rPr>
        <w:t>. If not, draft the letter on your practice’s letterhead. As you navigate through this template, please fill in information based on your clinical assessment for your specific patient. Be sure to also include any other pertinent information for your patient. This template does not guarantee reimbursement or coverage. Please remove this page before saving.]</w:t>
      </w:r>
    </w:p>
    <w:p w14:paraId="51354076" w14:textId="77777777" w:rsidR="005A3564" w:rsidRPr="00D935DA" w:rsidRDefault="005A3564" w:rsidP="005A3564">
      <w:pPr>
        <w:rPr>
          <w:rFonts w:cstheme="minorHAnsi"/>
          <w:b/>
          <w:bCs/>
          <w:noProof/>
          <w:sz w:val="22"/>
          <w:szCs w:val="22"/>
        </w:rPr>
      </w:pPr>
    </w:p>
    <w:p w14:paraId="768860FC" w14:textId="77777777" w:rsidR="006F362B" w:rsidRDefault="006F362B">
      <w:pPr>
        <w:spacing w:after="160" w:line="259" w:lineRule="auto"/>
        <w:rPr>
          <w:rFonts w:cstheme="minorHAnsi"/>
          <w:b/>
          <w:bCs/>
          <w:noProof/>
          <w:sz w:val="22"/>
          <w:szCs w:val="22"/>
        </w:rPr>
      </w:pPr>
    </w:p>
    <w:p w14:paraId="64381D3D" w14:textId="77777777" w:rsidR="006F362B" w:rsidRDefault="006F362B">
      <w:pPr>
        <w:spacing w:after="160" w:line="259" w:lineRule="auto"/>
        <w:rPr>
          <w:rFonts w:cstheme="minorHAnsi"/>
          <w:b/>
          <w:bCs/>
          <w:noProof/>
          <w:sz w:val="22"/>
          <w:szCs w:val="22"/>
        </w:rPr>
      </w:pPr>
    </w:p>
    <w:p w14:paraId="789A211F" w14:textId="77777777" w:rsidR="006F362B" w:rsidRDefault="006F362B">
      <w:pPr>
        <w:spacing w:after="160" w:line="259" w:lineRule="auto"/>
        <w:rPr>
          <w:rFonts w:cstheme="minorHAnsi"/>
          <w:b/>
          <w:bCs/>
          <w:noProof/>
          <w:sz w:val="22"/>
          <w:szCs w:val="22"/>
        </w:rPr>
      </w:pPr>
    </w:p>
    <w:p w14:paraId="2A0499F1" w14:textId="77777777" w:rsidR="006F362B" w:rsidRDefault="006F362B">
      <w:pPr>
        <w:spacing w:after="160" w:line="259" w:lineRule="auto"/>
        <w:rPr>
          <w:rFonts w:cstheme="minorHAnsi"/>
          <w:b/>
          <w:bCs/>
          <w:noProof/>
          <w:sz w:val="22"/>
          <w:szCs w:val="22"/>
        </w:rPr>
      </w:pPr>
    </w:p>
    <w:p w14:paraId="46ED6EDC" w14:textId="77777777" w:rsidR="006F362B" w:rsidRDefault="006F362B">
      <w:pPr>
        <w:spacing w:after="160" w:line="259" w:lineRule="auto"/>
        <w:rPr>
          <w:rFonts w:cstheme="minorHAnsi"/>
          <w:b/>
          <w:bCs/>
          <w:noProof/>
          <w:sz w:val="22"/>
          <w:szCs w:val="22"/>
        </w:rPr>
      </w:pPr>
    </w:p>
    <w:p w14:paraId="522ECFC4" w14:textId="77777777" w:rsidR="006F362B" w:rsidRDefault="006F362B">
      <w:pPr>
        <w:spacing w:after="160" w:line="259" w:lineRule="auto"/>
        <w:rPr>
          <w:rFonts w:cstheme="minorHAnsi"/>
          <w:b/>
          <w:bCs/>
          <w:noProof/>
          <w:sz w:val="22"/>
          <w:szCs w:val="22"/>
        </w:rPr>
      </w:pPr>
    </w:p>
    <w:p w14:paraId="4340E13F" w14:textId="77777777" w:rsidR="006F362B" w:rsidRDefault="006F362B">
      <w:pPr>
        <w:spacing w:after="160" w:line="259" w:lineRule="auto"/>
        <w:rPr>
          <w:rFonts w:cstheme="minorHAnsi"/>
          <w:b/>
          <w:bCs/>
          <w:noProof/>
          <w:sz w:val="22"/>
          <w:szCs w:val="22"/>
        </w:rPr>
      </w:pPr>
    </w:p>
    <w:p w14:paraId="55D50A86" w14:textId="77777777" w:rsidR="006F362B" w:rsidRDefault="006F362B">
      <w:pPr>
        <w:spacing w:after="160" w:line="259" w:lineRule="auto"/>
        <w:rPr>
          <w:rFonts w:cstheme="minorHAnsi"/>
          <w:b/>
          <w:bCs/>
          <w:noProof/>
          <w:sz w:val="22"/>
          <w:szCs w:val="22"/>
        </w:rPr>
      </w:pPr>
    </w:p>
    <w:p w14:paraId="7DA19E02" w14:textId="77777777" w:rsidR="006F362B" w:rsidRDefault="006F362B">
      <w:pPr>
        <w:spacing w:after="160" w:line="259" w:lineRule="auto"/>
        <w:rPr>
          <w:rFonts w:cstheme="minorHAnsi"/>
          <w:b/>
          <w:bCs/>
          <w:noProof/>
          <w:sz w:val="22"/>
          <w:szCs w:val="22"/>
        </w:rPr>
      </w:pPr>
    </w:p>
    <w:p w14:paraId="402B8262" w14:textId="77777777" w:rsidR="006F362B" w:rsidRDefault="006F362B">
      <w:pPr>
        <w:spacing w:after="160" w:line="259" w:lineRule="auto"/>
        <w:rPr>
          <w:rFonts w:cstheme="minorHAnsi"/>
          <w:b/>
          <w:bCs/>
          <w:noProof/>
          <w:sz w:val="22"/>
          <w:szCs w:val="22"/>
        </w:rPr>
      </w:pPr>
    </w:p>
    <w:p w14:paraId="08DCC022" w14:textId="77777777" w:rsidR="006F362B" w:rsidRDefault="006F362B">
      <w:pPr>
        <w:spacing w:after="160" w:line="259" w:lineRule="auto"/>
        <w:rPr>
          <w:rFonts w:cstheme="minorHAnsi"/>
          <w:b/>
          <w:bCs/>
          <w:noProof/>
          <w:sz w:val="22"/>
          <w:szCs w:val="22"/>
        </w:rPr>
      </w:pPr>
    </w:p>
    <w:p w14:paraId="43ACF7A1" w14:textId="77777777" w:rsidR="006F362B" w:rsidRDefault="006F362B">
      <w:pPr>
        <w:spacing w:after="160" w:line="259" w:lineRule="auto"/>
        <w:rPr>
          <w:rFonts w:cstheme="minorHAnsi"/>
          <w:b/>
          <w:bCs/>
          <w:noProof/>
          <w:sz w:val="22"/>
          <w:szCs w:val="22"/>
        </w:rPr>
      </w:pPr>
    </w:p>
    <w:p w14:paraId="107FE3B4" w14:textId="77777777" w:rsidR="006F362B" w:rsidRDefault="006F362B">
      <w:pPr>
        <w:spacing w:after="160" w:line="259" w:lineRule="auto"/>
        <w:rPr>
          <w:rFonts w:cstheme="minorHAnsi"/>
          <w:b/>
          <w:bCs/>
          <w:noProof/>
          <w:sz w:val="22"/>
          <w:szCs w:val="22"/>
        </w:rPr>
      </w:pPr>
    </w:p>
    <w:p w14:paraId="182E2CAD" w14:textId="77777777" w:rsidR="006F362B" w:rsidRDefault="006F362B">
      <w:pPr>
        <w:spacing w:after="160" w:line="259" w:lineRule="auto"/>
        <w:rPr>
          <w:rFonts w:cstheme="minorHAnsi"/>
          <w:b/>
          <w:bCs/>
          <w:noProof/>
          <w:sz w:val="22"/>
          <w:szCs w:val="22"/>
        </w:rPr>
      </w:pPr>
    </w:p>
    <w:p w14:paraId="1D35EFF4" w14:textId="77777777" w:rsidR="006F362B" w:rsidRDefault="006F362B">
      <w:pPr>
        <w:spacing w:after="160" w:line="259" w:lineRule="auto"/>
        <w:rPr>
          <w:rFonts w:cstheme="minorHAnsi"/>
          <w:b/>
          <w:bCs/>
          <w:noProof/>
          <w:sz w:val="22"/>
          <w:szCs w:val="22"/>
        </w:rPr>
      </w:pPr>
    </w:p>
    <w:p w14:paraId="5EDA800F" w14:textId="77777777" w:rsidR="006F362B" w:rsidRDefault="006F362B">
      <w:pPr>
        <w:spacing w:after="160" w:line="259" w:lineRule="auto"/>
        <w:rPr>
          <w:rFonts w:cstheme="minorHAnsi"/>
          <w:b/>
          <w:bCs/>
          <w:noProof/>
          <w:sz w:val="22"/>
          <w:szCs w:val="22"/>
        </w:rPr>
      </w:pPr>
    </w:p>
    <w:p w14:paraId="79CE013B" w14:textId="77777777" w:rsidR="006F362B" w:rsidRDefault="006F362B">
      <w:pPr>
        <w:spacing w:after="160" w:line="259" w:lineRule="auto"/>
        <w:rPr>
          <w:rFonts w:cstheme="minorHAnsi"/>
          <w:b/>
          <w:bCs/>
          <w:noProof/>
          <w:sz w:val="22"/>
          <w:szCs w:val="22"/>
        </w:rPr>
      </w:pPr>
    </w:p>
    <w:p w14:paraId="25668666" w14:textId="77777777" w:rsidR="006F362B" w:rsidRDefault="006F362B">
      <w:pPr>
        <w:spacing w:after="160" w:line="259" w:lineRule="auto"/>
        <w:rPr>
          <w:rFonts w:cstheme="minorHAnsi"/>
          <w:b/>
          <w:bCs/>
          <w:noProof/>
          <w:sz w:val="22"/>
          <w:szCs w:val="22"/>
        </w:rPr>
      </w:pPr>
    </w:p>
    <w:p w14:paraId="279C0CFD" w14:textId="77777777" w:rsidR="006F362B" w:rsidRDefault="006F362B">
      <w:pPr>
        <w:spacing w:after="160" w:line="259" w:lineRule="auto"/>
        <w:rPr>
          <w:rFonts w:cstheme="minorHAnsi"/>
          <w:b/>
          <w:bCs/>
          <w:noProof/>
          <w:sz w:val="22"/>
          <w:szCs w:val="22"/>
        </w:rPr>
      </w:pPr>
    </w:p>
    <w:p w14:paraId="4621EF1D" w14:textId="77777777" w:rsidR="006F362B" w:rsidRDefault="006F362B">
      <w:pPr>
        <w:spacing w:after="160" w:line="259" w:lineRule="auto"/>
        <w:rPr>
          <w:rFonts w:cstheme="minorHAnsi"/>
          <w:b/>
          <w:bCs/>
          <w:noProof/>
          <w:sz w:val="22"/>
          <w:szCs w:val="22"/>
        </w:rPr>
      </w:pPr>
    </w:p>
    <w:p w14:paraId="6DE0B9E8" w14:textId="77777777" w:rsidR="006F362B" w:rsidRDefault="006F362B">
      <w:pPr>
        <w:spacing w:after="160" w:line="259" w:lineRule="auto"/>
        <w:rPr>
          <w:rFonts w:cstheme="minorHAnsi"/>
          <w:b/>
          <w:bCs/>
          <w:noProof/>
          <w:sz w:val="22"/>
          <w:szCs w:val="22"/>
        </w:rPr>
      </w:pPr>
    </w:p>
    <w:p w14:paraId="43AF88CD" w14:textId="77777777" w:rsidR="006F362B" w:rsidRDefault="006F362B">
      <w:pPr>
        <w:spacing w:after="160" w:line="259" w:lineRule="auto"/>
        <w:rPr>
          <w:rFonts w:cstheme="minorHAnsi"/>
          <w:b/>
          <w:bCs/>
          <w:noProof/>
          <w:sz w:val="22"/>
          <w:szCs w:val="22"/>
        </w:rPr>
      </w:pPr>
    </w:p>
    <w:p w14:paraId="34D4A3D9" w14:textId="5F2E7130" w:rsidR="00AD5E68" w:rsidRPr="00634FEB" w:rsidRDefault="00634FEB" w:rsidP="006F362B">
      <w:pPr>
        <w:spacing w:after="160" w:line="259" w:lineRule="auto"/>
        <w:jc w:val="right"/>
        <w:rPr>
          <w:rFonts w:cstheme="minorHAnsi"/>
          <w:noProof/>
          <w:sz w:val="22"/>
          <w:szCs w:val="22"/>
        </w:rPr>
      </w:pPr>
      <w:r w:rsidRPr="00634FEB">
        <w:rPr>
          <w:rFonts w:cstheme="minorHAnsi"/>
          <w:noProof/>
          <w:sz w:val="18"/>
          <w:szCs w:val="18"/>
        </w:rPr>
        <w:t>4006-KCID-03-04/23</w:t>
      </w:r>
      <w:r w:rsidR="00AD5E68" w:rsidRPr="00634FEB">
        <w:rPr>
          <w:rFonts w:cstheme="minorHAnsi"/>
          <w:noProof/>
          <w:sz w:val="22"/>
          <w:szCs w:val="22"/>
        </w:rPr>
        <w:br w:type="page"/>
      </w:r>
    </w:p>
    <w:p w14:paraId="0D156D11" w14:textId="2A477A86" w:rsidR="0051636E" w:rsidRPr="00D935DA" w:rsidRDefault="0051636E" w:rsidP="005A3564">
      <w:pPr>
        <w:rPr>
          <w:rFonts w:cstheme="minorHAnsi"/>
          <w:noProof/>
          <w:color w:val="FF0000"/>
          <w:sz w:val="22"/>
          <w:szCs w:val="22"/>
        </w:rPr>
      </w:pPr>
      <w:r w:rsidRPr="00D935DA">
        <w:rPr>
          <w:rFonts w:cstheme="minorHAnsi"/>
          <w:noProof/>
          <w:color w:val="FF0000"/>
          <w:sz w:val="22"/>
          <w:szCs w:val="22"/>
        </w:rPr>
        <w:lastRenderedPageBreak/>
        <w:t>[Today’s Date]</w:t>
      </w:r>
    </w:p>
    <w:p w14:paraId="528E4EAD" w14:textId="77777777" w:rsidR="0051636E" w:rsidRPr="00D935DA" w:rsidRDefault="0051636E" w:rsidP="005A3564">
      <w:pPr>
        <w:rPr>
          <w:rFonts w:cstheme="minorHAnsi"/>
          <w:noProof/>
          <w:color w:val="FF40FF"/>
          <w:sz w:val="22"/>
          <w:szCs w:val="22"/>
        </w:rPr>
      </w:pPr>
    </w:p>
    <w:p w14:paraId="4B9C4D00" w14:textId="69594542" w:rsidR="0051636E" w:rsidRPr="00D935DA" w:rsidRDefault="0051636E" w:rsidP="005A3564">
      <w:pPr>
        <w:rPr>
          <w:rFonts w:cstheme="minorHAnsi"/>
          <w:noProof/>
          <w:sz w:val="22"/>
          <w:szCs w:val="22"/>
        </w:rPr>
      </w:pPr>
      <w:r w:rsidRPr="00D935DA">
        <w:rPr>
          <w:rFonts w:cstheme="minorHAnsi"/>
          <w:noProof/>
          <w:sz w:val="22"/>
          <w:szCs w:val="22"/>
        </w:rPr>
        <w:t>Attn: Appeals Department</w:t>
      </w:r>
    </w:p>
    <w:p w14:paraId="1C94B902" w14:textId="77777777" w:rsidR="0051636E" w:rsidRPr="00D935DA" w:rsidRDefault="0051636E" w:rsidP="005A3564">
      <w:pPr>
        <w:rPr>
          <w:rFonts w:cstheme="minorHAnsi"/>
          <w:noProof/>
          <w:color w:val="FF40FF"/>
          <w:sz w:val="22"/>
          <w:szCs w:val="22"/>
        </w:rPr>
      </w:pPr>
    </w:p>
    <w:p w14:paraId="02F6C497" w14:textId="60C1DFA2" w:rsidR="005A3564" w:rsidRPr="00D935DA" w:rsidRDefault="000950E4" w:rsidP="005A3564">
      <w:pPr>
        <w:rPr>
          <w:rFonts w:cstheme="minorHAnsi"/>
          <w:noProof/>
          <w:color w:val="FF40FF"/>
          <w:sz w:val="22"/>
          <w:szCs w:val="22"/>
        </w:rPr>
      </w:pPr>
      <w:r w:rsidRPr="00D935DA">
        <w:rPr>
          <w:rFonts w:cstheme="minorHAnsi"/>
          <w:noProof/>
          <w:color w:val="FF40FF"/>
          <w:sz w:val="22"/>
          <w:szCs w:val="22"/>
        </w:rPr>
        <w:t>[Payer</w:t>
      </w:r>
      <w:r w:rsidR="005A3564" w:rsidRPr="00D935DA">
        <w:rPr>
          <w:rFonts w:cstheme="minorHAnsi"/>
          <w:noProof/>
          <w:color w:val="FF40FF"/>
          <w:sz w:val="22"/>
          <w:szCs w:val="22"/>
        </w:rPr>
        <w:t xml:space="preserve"> Name]</w:t>
      </w:r>
    </w:p>
    <w:p w14:paraId="72B00400" w14:textId="27BA74F3" w:rsidR="005A3564" w:rsidRPr="00D935DA" w:rsidRDefault="005A3564" w:rsidP="005A3564">
      <w:pPr>
        <w:rPr>
          <w:rFonts w:cstheme="minorHAnsi"/>
          <w:noProof/>
          <w:color w:val="FF40FF"/>
          <w:sz w:val="22"/>
          <w:szCs w:val="22"/>
        </w:rPr>
      </w:pPr>
      <w:r w:rsidRPr="00D935DA">
        <w:rPr>
          <w:rFonts w:cstheme="minorHAnsi"/>
          <w:noProof/>
          <w:color w:val="FF40FF"/>
          <w:sz w:val="22"/>
          <w:szCs w:val="22"/>
        </w:rPr>
        <w:t>[</w:t>
      </w:r>
      <w:r w:rsidR="000950E4" w:rsidRPr="00D935DA">
        <w:rPr>
          <w:rFonts w:cstheme="minorHAnsi"/>
          <w:noProof/>
          <w:color w:val="FF40FF"/>
          <w:sz w:val="22"/>
          <w:szCs w:val="22"/>
        </w:rPr>
        <w:t>Payer Street</w:t>
      </w:r>
      <w:r w:rsidRPr="00D935DA">
        <w:rPr>
          <w:rFonts w:cstheme="minorHAnsi"/>
          <w:noProof/>
          <w:color w:val="FF40FF"/>
          <w:sz w:val="22"/>
          <w:szCs w:val="22"/>
        </w:rPr>
        <w:t xml:space="preserve"> Address]</w:t>
      </w:r>
    </w:p>
    <w:p w14:paraId="56933078" w14:textId="05F20671" w:rsidR="005A3564" w:rsidRPr="00D935DA" w:rsidRDefault="005A3564" w:rsidP="005A3564">
      <w:pPr>
        <w:rPr>
          <w:rFonts w:cstheme="minorHAnsi"/>
          <w:noProof/>
          <w:color w:val="FF40FF"/>
          <w:sz w:val="22"/>
          <w:szCs w:val="22"/>
        </w:rPr>
      </w:pPr>
      <w:r w:rsidRPr="00D935DA">
        <w:rPr>
          <w:rFonts w:cstheme="minorHAnsi"/>
          <w:noProof/>
          <w:color w:val="FF40FF"/>
          <w:sz w:val="22"/>
          <w:szCs w:val="22"/>
        </w:rPr>
        <w:t>[</w:t>
      </w:r>
      <w:r w:rsidR="00A058BF" w:rsidRPr="00D935DA">
        <w:rPr>
          <w:rFonts w:cstheme="minorHAnsi"/>
          <w:noProof/>
          <w:color w:val="FF40FF"/>
          <w:sz w:val="22"/>
          <w:szCs w:val="22"/>
        </w:rPr>
        <w:t>Payer City, State, Zip</w:t>
      </w:r>
      <w:r w:rsidRPr="00D935DA">
        <w:rPr>
          <w:rFonts w:cstheme="minorHAnsi"/>
          <w:noProof/>
          <w:color w:val="FF40FF"/>
          <w:sz w:val="22"/>
          <w:szCs w:val="22"/>
        </w:rPr>
        <w:t>]</w:t>
      </w:r>
    </w:p>
    <w:p w14:paraId="67B74D26" w14:textId="77777777" w:rsidR="005A3564" w:rsidRPr="00D935DA" w:rsidRDefault="005A3564" w:rsidP="005A3564">
      <w:pPr>
        <w:rPr>
          <w:rFonts w:cstheme="minorHAnsi"/>
          <w:b/>
          <w:bCs/>
          <w:noProof/>
          <w:sz w:val="22"/>
          <w:szCs w:val="22"/>
        </w:rPr>
      </w:pPr>
    </w:p>
    <w:p w14:paraId="7E1797AC" w14:textId="4AC016C8" w:rsidR="005A3564" w:rsidRPr="00D935DA" w:rsidRDefault="005A3564" w:rsidP="004404DA">
      <w:pPr>
        <w:rPr>
          <w:rFonts w:cstheme="minorHAnsi"/>
          <w:noProof/>
          <w:color w:val="FF0000"/>
          <w:sz w:val="22"/>
          <w:szCs w:val="22"/>
        </w:rPr>
      </w:pPr>
      <w:r w:rsidRPr="00D935DA">
        <w:rPr>
          <w:rFonts w:cstheme="minorHAnsi"/>
          <w:noProof/>
          <w:sz w:val="22"/>
          <w:szCs w:val="22"/>
        </w:rPr>
        <w:t>R</w:t>
      </w:r>
      <w:r w:rsidR="004404DA" w:rsidRPr="00D935DA">
        <w:rPr>
          <w:rFonts w:cstheme="minorHAnsi"/>
          <w:noProof/>
          <w:sz w:val="22"/>
          <w:szCs w:val="22"/>
        </w:rPr>
        <w:t>e</w:t>
      </w:r>
      <w:r w:rsidRPr="00D935DA">
        <w:rPr>
          <w:rFonts w:cstheme="minorHAnsi"/>
          <w:noProof/>
          <w:sz w:val="22"/>
          <w:szCs w:val="22"/>
        </w:rPr>
        <w:t xml:space="preserve">: </w:t>
      </w:r>
      <w:r w:rsidR="004404DA" w:rsidRPr="00D935DA">
        <w:rPr>
          <w:rFonts w:cstheme="minorHAnsi"/>
          <w:noProof/>
          <w:sz w:val="22"/>
          <w:szCs w:val="22"/>
        </w:rPr>
        <w:tab/>
      </w:r>
      <w:r w:rsidR="004404DA" w:rsidRPr="00D935DA">
        <w:rPr>
          <w:rFonts w:cstheme="minorHAnsi"/>
          <w:noProof/>
          <w:color w:val="FF0000"/>
          <w:sz w:val="22"/>
          <w:szCs w:val="22"/>
        </w:rPr>
        <w:t>[Patient Full Name]</w:t>
      </w:r>
    </w:p>
    <w:p w14:paraId="3F28D279" w14:textId="4E80B65E" w:rsidR="004404DA" w:rsidRPr="00D935DA" w:rsidRDefault="004404DA" w:rsidP="004404DA">
      <w:pPr>
        <w:ind w:left="720"/>
        <w:rPr>
          <w:rFonts w:cstheme="minorHAnsi"/>
          <w:noProof/>
          <w:color w:val="FF0000"/>
          <w:sz w:val="22"/>
          <w:szCs w:val="22"/>
        </w:rPr>
      </w:pPr>
      <w:r w:rsidRPr="00D935DA">
        <w:rPr>
          <w:rFonts w:cstheme="minorHAnsi"/>
          <w:noProof/>
          <w:color w:val="FF0000"/>
          <w:sz w:val="22"/>
          <w:szCs w:val="22"/>
        </w:rPr>
        <w:t>[Patient Date of Birth]</w:t>
      </w:r>
    </w:p>
    <w:p w14:paraId="65CBAC97" w14:textId="41BE6119" w:rsidR="004404DA" w:rsidRPr="00D935DA" w:rsidRDefault="004404DA" w:rsidP="004404DA">
      <w:pPr>
        <w:ind w:left="720"/>
        <w:rPr>
          <w:rFonts w:cstheme="minorHAnsi"/>
          <w:noProof/>
          <w:color w:val="FF0000"/>
          <w:sz w:val="22"/>
          <w:szCs w:val="22"/>
        </w:rPr>
      </w:pPr>
      <w:r w:rsidRPr="00D935DA">
        <w:rPr>
          <w:rFonts w:cstheme="minorHAnsi"/>
          <w:noProof/>
          <w:color w:val="FF0000"/>
          <w:sz w:val="22"/>
          <w:szCs w:val="22"/>
        </w:rPr>
        <w:t>[Patient Member ID]</w:t>
      </w:r>
    </w:p>
    <w:p w14:paraId="729AD7F8" w14:textId="6E75B835" w:rsidR="004404DA" w:rsidRPr="00D935DA" w:rsidRDefault="004404DA" w:rsidP="004404DA">
      <w:pPr>
        <w:ind w:left="720"/>
        <w:rPr>
          <w:rFonts w:cstheme="minorHAnsi"/>
          <w:noProof/>
          <w:color w:val="FF0000"/>
          <w:sz w:val="22"/>
          <w:szCs w:val="22"/>
        </w:rPr>
      </w:pPr>
      <w:r w:rsidRPr="00D935DA">
        <w:rPr>
          <w:rFonts w:cstheme="minorHAnsi"/>
          <w:noProof/>
          <w:color w:val="FF0000"/>
          <w:sz w:val="22"/>
          <w:szCs w:val="22"/>
        </w:rPr>
        <w:t>[Patient Policy/ Group Number]</w:t>
      </w:r>
    </w:p>
    <w:p w14:paraId="764A1BE7" w14:textId="2197EC79" w:rsidR="004404DA" w:rsidRPr="00D935DA" w:rsidRDefault="004404DA" w:rsidP="004404DA">
      <w:pPr>
        <w:ind w:left="720"/>
        <w:rPr>
          <w:rFonts w:cstheme="minorHAnsi"/>
          <w:noProof/>
          <w:color w:val="FF0000"/>
          <w:sz w:val="22"/>
          <w:szCs w:val="22"/>
        </w:rPr>
      </w:pPr>
      <w:r w:rsidRPr="00D935DA">
        <w:rPr>
          <w:rFonts w:cstheme="minorHAnsi"/>
          <w:noProof/>
          <w:color w:val="FF0000"/>
          <w:sz w:val="22"/>
          <w:szCs w:val="22"/>
        </w:rPr>
        <w:t>[Prior Authorization or Claim Number]</w:t>
      </w:r>
    </w:p>
    <w:p w14:paraId="26E05C15" w14:textId="6973FC65" w:rsidR="004404DA" w:rsidRDefault="004404DA" w:rsidP="004404DA">
      <w:pPr>
        <w:ind w:left="720"/>
        <w:rPr>
          <w:rFonts w:cstheme="minorHAnsi"/>
          <w:noProof/>
          <w:color w:val="FF0000"/>
          <w:sz w:val="22"/>
          <w:szCs w:val="22"/>
        </w:rPr>
      </w:pPr>
      <w:r w:rsidRPr="00D935DA">
        <w:rPr>
          <w:rFonts w:cstheme="minorHAnsi"/>
          <w:noProof/>
          <w:color w:val="FF0000"/>
          <w:sz w:val="22"/>
          <w:szCs w:val="22"/>
        </w:rPr>
        <w:t>[Patient Diagnosis/ ICD-10]</w:t>
      </w:r>
    </w:p>
    <w:p w14:paraId="49E6AFEA" w14:textId="4525DEB9" w:rsidR="004954C4" w:rsidRPr="00D935DA" w:rsidRDefault="004954C4" w:rsidP="004404DA">
      <w:pPr>
        <w:ind w:left="720"/>
        <w:rPr>
          <w:rFonts w:cstheme="minorHAnsi"/>
          <w:noProof/>
          <w:color w:val="FF0000"/>
          <w:sz w:val="22"/>
          <w:szCs w:val="22"/>
        </w:rPr>
      </w:pPr>
      <w:r>
        <w:rPr>
          <w:rFonts w:cstheme="minorHAnsi"/>
          <w:noProof/>
          <w:color w:val="FF0000"/>
          <w:sz w:val="22"/>
          <w:szCs w:val="22"/>
        </w:rPr>
        <w:t>[Date of Diagnosis]</w:t>
      </w:r>
    </w:p>
    <w:p w14:paraId="0ECA8452" w14:textId="10072254" w:rsidR="004404DA" w:rsidRPr="00D935DA" w:rsidRDefault="004404DA" w:rsidP="004404DA">
      <w:pPr>
        <w:ind w:left="720"/>
        <w:rPr>
          <w:rFonts w:cstheme="minorHAnsi"/>
          <w:noProof/>
          <w:color w:val="FF0000"/>
          <w:sz w:val="22"/>
          <w:szCs w:val="22"/>
        </w:rPr>
      </w:pPr>
      <w:r w:rsidRPr="00D935DA">
        <w:rPr>
          <w:rFonts w:cstheme="minorHAnsi"/>
          <w:noProof/>
          <w:color w:val="FF0000"/>
          <w:sz w:val="22"/>
          <w:szCs w:val="22"/>
        </w:rPr>
        <w:t>[Date(s) of Service]</w:t>
      </w:r>
    </w:p>
    <w:p w14:paraId="6A229EC3" w14:textId="77777777" w:rsidR="005A3564" w:rsidRPr="00D935DA" w:rsidRDefault="005A3564" w:rsidP="005A3564">
      <w:pPr>
        <w:rPr>
          <w:rFonts w:cstheme="minorHAnsi"/>
          <w:b/>
          <w:bCs/>
          <w:noProof/>
          <w:sz w:val="22"/>
          <w:szCs w:val="22"/>
        </w:rPr>
      </w:pPr>
    </w:p>
    <w:p w14:paraId="4D3193A7" w14:textId="5CDD1150" w:rsidR="005A3564" w:rsidRPr="00D935DA" w:rsidRDefault="004404DA" w:rsidP="005A3564">
      <w:pPr>
        <w:rPr>
          <w:rFonts w:cstheme="minorHAnsi"/>
          <w:noProof/>
          <w:sz w:val="22"/>
          <w:szCs w:val="22"/>
        </w:rPr>
      </w:pPr>
      <w:r w:rsidRPr="00D935DA">
        <w:rPr>
          <w:rFonts w:cstheme="minorHAnsi"/>
          <w:noProof/>
          <w:sz w:val="22"/>
          <w:szCs w:val="22"/>
        </w:rPr>
        <w:t>To Whom It May Concern:</w:t>
      </w:r>
    </w:p>
    <w:p w14:paraId="01FA4E54" w14:textId="77777777" w:rsidR="005A3564" w:rsidRPr="00D935DA" w:rsidRDefault="005A3564" w:rsidP="005A3564">
      <w:pPr>
        <w:rPr>
          <w:rFonts w:cstheme="minorHAnsi"/>
          <w:noProof/>
          <w:sz w:val="22"/>
          <w:szCs w:val="22"/>
        </w:rPr>
      </w:pPr>
    </w:p>
    <w:p w14:paraId="0400CF2C" w14:textId="7F750B60" w:rsidR="005A3564" w:rsidRPr="00D935DA" w:rsidRDefault="00BF217B" w:rsidP="005A3564">
      <w:pPr>
        <w:rPr>
          <w:rFonts w:cstheme="minorHAnsi"/>
          <w:noProof/>
          <w:sz w:val="22"/>
          <w:szCs w:val="22"/>
        </w:rPr>
      </w:pPr>
      <w:r w:rsidRPr="00D935DA">
        <w:rPr>
          <w:rFonts w:cstheme="minorHAnsi"/>
          <w:noProof/>
          <w:sz w:val="22"/>
          <w:szCs w:val="22"/>
        </w:rPr>
        <w:t xml:space="preserve">This letter serves as a request for reconsideration of payment of a denied </w:t>
      </w:r>
      <w:r w:rsidRPr="00D935DA">
        <w:rPr>
          <w:rFonts w:cstheme="minorHAnsi"/>
          <w:noProof/>
          <w:color w:val="FF0000"/>
          <w:sz w:val="22"/>
          <w:szCs w:val="22"/>
        </w:rPr>
        <w:t>[Prior Author</w:t>
      </w:r>
      <w:r w:rsidR="00C51930">
        <w:rPr>
          <w:rFonts w:cstheme="minorHAnsi"/>
          <w:noProof/>
          <w:color w:val="FF0000"/>
          <w:sz w:val="22"/>
          <w:szCs w:val="22"/>
        </w:rPr>
        <w:t>i</w:t>
      </w:r>
      <w:r w:rsidRPr="00D935DA">
        <w:rPr>
          <w:rFonts w:cstheme="minorHAnsi"/>
          <w:noProof/>
          <w:color w:val="FF0000"/>
          <w:sz w:val="22"/>
          <w:szCs w:val="22"/>
        </w:rPr>
        <w:t xml:space="preserve">zation/ Claim] </w:t>
      </w:r>
      <w:r w:rsidRPr="00D935DA">
        <w:rPr>
          <w:rFonts w:cstheme="minorHAnsi"/>
          <w:noProof/>
          <w:sz w:val="22"/>
          <w:szCs w:val="22"/>
        </w:rPr>
        <w:t xml:space="preserve">for IDACIO® (adalimumab-aacf) </w:t>
      </w:r>
      <w:r w:rsidR="009C4D39" w:rsidRPr="00D935DA">
        <w:rPr>
          <w:rFonts w:cstheme="minorHAnsi"/>
          <w:noProof/>
          <w:sz w:val="22"/>
          <w:szCs w:val="22"/>
        </w:rPr>
        <w:t>Injection</w:t>
      </w:r>
      <w:r w:rsidRPr="00D935DA">
        <w:rPr>
          <w:rFonts w:cstheme="minorHAnsi"/>
          <w:noProof/>
          <w:sz w:val="22"/>
          <w:szCs w:val="22"/>
        </w:rPr>
        <w:t xml:space="preserve"> for my patient, </w:t>
      </w:r>
      <w:r w:rsidRPr="00D935DA">
        <w:rPr>
          <w:rFonts w:cstheme="minorHAnsi"/>
          <w:noProof/>
          <w:color w:val="FF0000"/>
          <w:sz w:val="22"/>
          <w:szCs w:val="22"/>
        </w:rPr>
        <w:t>[Patient Name]</w:t>
      </w:r>
      <w:r w:rsidRPr="00D935DA">
        <w:rPr>
          <w:rFonts w:cstheme="minorHAnsi"/>
          <w:noProof/>
          <w:sz w:val="22"/>
          <w:szCs w:val="22"/>
        </w:rPr>
        <w:t xml:space="preserve">, on </w:t>
      </w:r>
      <w:r w:rsidRPr="00D935DA">
        <w:rPr>
          <w:rFonts w:cstheme="minorHAnsi"/>
          <w:noProof/>
          <w:color w:val="FF0000"/>
          <w:sz w:val="22"/>
          <w:szCs w:val="22"/>
        </w:rPr>
        <w:t>[Date(s) of Service]</w:t>
      </w:r>
      <w:r w:rsidRPr="00D935DA">
        <w:rPr>
          <w:rFonts w:cstheme="minorHAnsi"/>
          <w:noProof/>
          <w:sz w:val="22"/>
          <w:szCs w:val="22"/>
        </w:rPr>
        <w:t>.</w:t>
      </w:r>
    </w:p>
    <w:p w14:paraId="19817996" w14:textId="77777777" w:rsidR="00BF217B" w:rsidRPr="00D935DA" w:rsidRDefault="00BF217B" w:rsidP="005A3564">
      <w:pPr>
        <w:rPr>
          <w:rFonts w:cstheme="minorHAnsi"/>
          <w:noProof/>
          <w:sz w:val="22"/>
          <w:szCs w:val="22"/>
        </w:rPr>
      </w:pPr>
    </w:p>
    <w:p w14:paraId="7A9EBEB8" w14:textId="7D078791" w:rsidR="005A3564" w:rsidRPr="00D935DA" w:rsidRDefault="00BF217B" w:rsidP="005A3564">
      <w:pPr>
        <w:rPr>
          <w:rFonts w:cstheme="minorHAnsi"/>
          <w:noProof/>
          <w:sz w:val="22"/>
          <w:szCs w:val="22"/>
        </w:rPr>
      </w:pPr>
      <w:r w:rsidRPr="00D935DA">
        <w:rPr>
          <w:rFonts w:cstheme="minorHAnsi"/>
          <w:noProof/>
          <w:sz w:val="22"/>
          <w:szCs w:val="22"/>
        </w:rPr>
        <w:t xml:space="preserve">This patient has been under my care for the </w:t>
      </w:r>
      <w:r w:rsidR="008E4050" w:rsidRPr="00D935DA">
        <w:rPr>
          <w:rFonts w:cstheme="minorHAnsi"/>
          <w:noProof/>
          <w:sz w:val="22"/>
          <w:szCs w:val="22"/>
        </w:rPr>
        <w:t xml:space="preserve">confirmed diagnosis and </w:t>
      </w:r>
      <w:r w:rsidRPr="00D935DA">
        <w:rPr>
          <w:rFonts w:cstheme="minorHAnsi"/>
          <w:noProof/>
          <w:sz w:val="22"/>
          <w:szCs w:val="22"/>
        </w:rPr>
        <w:t xml:space="preserve">treatment of </w:t>
      </w:r>
      <w:r w:rsidRPr="00D935DA">
        <w:rPr>
          <w:rFonts w:cstheme="minorHAnsi"/>
          <w:noProof/>
          <w:color w:val="FF0000"/>
          <w:sz w:val="22"/>
          <w:szCs w:val="22"/>
        </w:rPr>
        <w:t>[patient diagnosis]</w:t>
      </w:r>
      <w:r w:rsidRPr="00D935DA">
        <w:rPr>
          <w:rFonts w:cstheme="minorHAnsi"/>
          <w:noProof/>
          <w:sz w:val="22"/>
          <w:szCs w:val="22"/>
        </w:rPr>
        <w:t xml:space="preserve">. You had indicated that IDACIO is not covered because </w:t>
      </w:r>
      <w:r w:rsidRPr="00D935DA">
        <w:rPr>
          <w:rFonts w:cstheme="minorHAnsi"/>
          <w:noProof/>
          <w:color w:val="FF0000"/>
          <w:sz w:val="22"/>
          <w:szCs w:val="22"/>
        </w:rPr>
        <w:t>[reason for denial]</w:t>
      </w:r>
      <w:r w:rsidRPr="00D935DA">
        <w:rPr>
          <w:rFonts w:cstheme="minorHAnsi"/>
          <w:noProof/>
          <w:sz w:val="22"/>
          <w:szCs w:val="22"/>
        </w:rPr>
        <w:t>.</w:t>
      </w:r>
    </w:p>
    <w:p w14:paraId="37079BF8" w14:textId="77777777" w:rsidR="005A3564" w:rsidRPr="00D935DA" w:rsidRDefault="005A3564" w:rsidP="005A3564">
      <w:pPr>
        <w:rPr>
          <w:rFonts w:cstheme="minorHAnsi"/>
          <w:noProof/>
          <w:sz w:val="22"/>
          <w:szCs w:val="22"/>
        </w:rPr>
      </w:pPr>
    </w:p>
    <w:p w14:paraId="0D5A2793" w14:textId="1B55984F" w:rsidR="005A3564" w:rsidRPr="00D935DA" w:rsidRDefault="00E1110C" w:rsidP="005A3564">
      <w:pPr>
        <w:rPr>
          <w:rFonts w:cstheme="minorHAnsi"/>
          <w:noProof/>
          <w:color w:val="FF0000"/>
          <w:sz w:val="22"/>
          <w:szCs w:val="22"/>
        </w:rPr>
      </w:pPr>
      <w:r w:rsidRPr="00D935DA">
        <w:rPr>
          <w:rFonts w:cstheme="minorHAnsi"/>
          <w:noProof/>
          <w:color w:val="FF0000"/>
          <w:sz w:val="22"/>
          <w:szCs w:val="22"/>
        </w:rPr>
        <w:t xml:space="preserve">[You may want to explain why this particular patient specifically needs IDACIO. Consider providing a tailored account of patient’s history and medical needs, describing patient’s symptoms, therapy to date, </w:t>
      </w:r>
      <w:r w:rsidR="00302BAA" w:rsidRPr="00D935DA">
        <w:rPr>
          <w:rFonts w:cstheme="minorHAnsi"/>
          <w:noProof/>
          <w:color w:val="FF0000"/>
          <w:sz w:val="22"/>
          <w:szCs w:val="22"/>
        </w:rPr>
        <w:t xml:space="preserve"> additional patient risk factors, and any other pertinent information, including how IDACIO has been effective for this specific patient, that supports this patient’s need for IDACIO.]</w:t>
      </w:r>
    </w:p>
    <w:p w14:paraId="28223BCC" w14:textId="77777777" w:rsidR="00302BAA" w:rsidRPr="00D935DA" w:rsidRDefault="00302BAA" w:rsidP="005A3564">
      <w:pPr>
        <w:rPr>
          <w:rFonts w:cstheme="minorHAnsi"/>
          <w:noProof/>
          <w:color w:val="FF40FF"/>
          <w:sz w:val="22"/>
          <w:szCs w:val="22"/>
        </w:rPr>
      </w:pPr>
    </w:p>
    <w:p w14:paraId="5F527451" w14:textId="4DC2D81A" w:rsidR="005A3564" w:rsidRPr="00D935DA" w:rsidRDefault="009C4D39" w:rsidP="005A3564">
      <w:pPr>
        <w:rPr>
          <w:rFonts w:cstheme="minorHAnsi"/>
          <w:noProof/>
          <w:sz w:val="22"/>
          <w:szCs w:val="22"/>
        </w:rPr>
      </w:pPr>
      <w:r w:rsidRPr="00D935DA">
        <w:rPr>
          <w:rFonts w:cstheme="minorHAnsi"/>
          <w:noProof/>
          <w:sz w:val="22"/>
          <w:szCs w:val="22"/>
        </w:rPr>
        <w:t>The attached Brief Summary provides the approved clinical information for IDACIO. IDACIO has been administered as a medically necessary part of this patie</w:t>
      </w:r>
      <w:r w:rsidR="00D935DA" w:rsidRPr="00D935DA">
        <w:rPr>
          <w:rFonts w:cstheme="minorHAnsi"/>
          <w:noProof/>
          <w:sz w:val="22"/>
          <w:szCs w:val="22"/>
        </w:rPr>
        <w:t>n</w:t>
      </w:r>
      <w:r w:rsidRPr="00D935DA">
        <w:rPr>
          <w:rFonts w:cstheme="minorHAnsi"/>
          <w:noProof/>
          <w:sz w:val="22"/>
          <w:szCs w:val="22"/>
        </w:rPr>
        <w:t>t’s treatment.</w:t>
      </w:r>
    </w:p>
    <w:p w14:paraId="79452E60" w14:textId="77777777" w:rsidR="005A3564" w:rsidRPr="00D935DA" w:rsidRDefault="005A3564" w:rsidP="005A3564">
      <w:pPr>
        <w:rPr>
          <w:rFonts w:cstheme="minorHAnsi"/>
          <w:noProof/>
          <w:sz w:val="22"/>
          <w:szCs w:val="22"/>
        </w:rPr>
      </w:pPr>
    </w:p>
    <w:p w14:paraId="1E894235" w14:textId="26E93247" w:rsidR="005A3564" w:rsidRPr="00D935DA" w:rsidRDefault="0043646C" w:rsidP="005A3564">
      <w:pPr>
        <w:rPr>
          <w:rFonts w:cstheme="minorHAnsi"/>
          <w:noProof/>
          <w:sz w:val="22"/>
          <w:szCs w:val="22"/>
        </w:rPr>
      </w:pPr>
      <w:r w:rsidRPr="00D935DA">
        <w:rPr>
          <w:rFonts w:cstheme="minorHAnsi"/>
          <w:noProof/>
          <w:sz w:val="22"/>
          <w:szCs w:val="22"/>
        </w:rPr>
        <w:t xml:space="preserve">I would appreciate reconsideration of coverage for the </w:t>
      </w:r>
      <w:r w:rsidRPr="00D935DA">
        <w:rPr>
          <w:rFonts w:cstheme="minorHAnsi"/>
          <w:noProof/>
          <w:color w:val="FF0000"/>
          <w:sz w:val="22"/>
          <w:szCs w:val="22"/>
        </w:rPr>
        <w:t>[Prior Autho</w:t>
      </w:r>
      <w:r w:rsidR="00003547">
        <w:rPr>
          <w:rFonts w:cstheme="minorHAnsi"/>
          <w:noProof/>
          <w:color w:val="FF0000"/>
          <w:sz w:val="22"/>
          <w:szCs w:val="22"/>
        </w:rPr>
        <w:t>ri</w:t>
      </w:r>
      <w:r w:rsidRPr="00D935DA">
        <w:rPr>
          <w:rFonts w:cstheme="minorHAnsi"/>
          <w:noProof/>
          <w:color w:val="FF0000"/>
          <w:sz w:val="22"/>
          <w:szCs w:val="22"/>
        </w:rPr>
        <w:t>zation/ Claim]</w:t>
      </w:r>
      <w:r w:rsidRPr="00D935DA">
        <w:rPr>
          <w:rFonts w:cstheme="minorHAnsi"/>
          <w:noProof/>
          <w:sz w:val="22"/>
          <w:szCs w:val="22"/>
        </w:rPr>
        <w:t xml:space="preserve"> for the date(s) of service referenced above for </w:t>
      </w:r>
      <w:r w:rsidRPr="00D935DA">
        <w:rPr>
          <w:rFonts w:cstheme="minorHAnsi"/>
          <w:noProof/>
          <w:color w:val="FF0000"/>
          <w:sz w:val="22"/>
          <w:szCs w:val="22"/>
        </w:rPr>
        <w:t>[Patient Name]</w:t>
      </w:r>
      <w:r w:rsidRPr="00D935DA">
        <w:rPr>
          <w:rFonts w:cstheme="minorHAnsi"/>
          <w:noProof/>
          <w:sz w:val="22"/>
          <w:szCs w:val="22"/>
        </w:rPr>
        <w:t xml:space="preserve">. </w:t>
      </w:r>
    </w:p>
    <w:p w14:paraId="603B2FBB" w14:textId="77777777" w:rsidR="0043646C" w:rsidRPr="00D935DA" w:rsidRDefault="0043646C" w:rsidP="005A3564">
      <w:pPr>
        <w:rPr>
          <w:rFonts w:cstheme="minorHAnsi"/>
          <w:noProof/>
          <w:sz w:val="22"/>
          <w:szCs w:val="22"/>
        </w:rPr>
      </w:pPr>
    </w:p>
    <w:p w14:paraId="5F72D79F" w14:textId="5B3A8876" w:rsidR="0043646C" w:rsidRPr="00D935DA" w:rsidRDefault="00885901" w:rsidP="005A3564">
      <w:pPr>
        <w:rPr>
          <w:rFonts w:cstheme="minorHAnsi"/>
          <w:noProof/>
          <w:sz w:val="22"/>
          <w:szCs w:val="22"/>
        </w:rPr>
      </w:pPr>
      <w:r w:rsidRPr="00D935DA">
        <w:rPr>
          <w:rFonts w:cstheme="minorHAnsi"/>
          <w:noProof/>
          <w:sz w:val="22"/>
          <w:szCs w:val="22"/>
        </w:rPr>
        <w:t xml:space="preserve">Thank you very much in advance for your time and consideration. Please call my office at the number listed below to discuss how we can facilitate a better patient outcome in an expedited fashion. I am happy to provide any additional needed information. My office hours are as follows: </w:t>
      </w:r>
      <w:r w:rsidRPr="00D935DA">
        <w:rPr>
          <w:rFonts w:cstheme="minorHAnsi"/>
          <w:noProof/>
          <w:color w:val="FF0000"/>
          <w:sz w:val="22"/>
          <w:szCs w:val="22"/>
        </w:rPr>
        <w:t>[days/ times]</w:t>
      </w:r>
    </w:p>
    <w:p w14:paraId="12BDB55C" w14:textId="77777777" w:rsidR="005A3564" w:rsidRPr="00D935DA" w:rsidRDefault="005A3564" w:rsidP="005A3564">
      <w:pPr>
        <w:rPr>
          <w:rFonts w:cstheme="minorHAnsi"/>
          <w:noProof/>
          <w:sz w:val="22"/>
          <w:szCs w:val="22"/>
        </w:rPr>
      </w:pPr>
    </w:p>
    <w:p w14:paraId="12E3568D" w14:textId="77777777" w:rsidR="005A3564" w:rsidRPr="00D935DA" w:rsidRDefault="005A3564" w:rsidP="005A3564">
      <w:pPr>
        <w:rPr>
          <w:rFonts w:cstheme="minorHAnsi"/>
          <w:noProof/>
          <w:sz w:val="22"/>
          <w:szCs w:val="22"/>
        </w:rPr>
      </w:pPr>
      <w:r w:rsidRPr="00D935DA">
        <w:rPr>
          <w:rFonts w:cstheme="minorHAnsi"/>
          <w:noProof/>
          <w:sz w:val="22"/>
          <w:szCs w:val="22"/>
        </w:rPr>
        <w:t>Sincerely,</w:t>
      </w:r>
    </w:p>
    <w:p w14:paraId="3E3629DF" w14:textId="77777777" w:rsidR="005A3564" w:rsidRPr="00D935DA" w:rsidRDefault="005A3564" w:rsidP="005A3564">
      <w:pPr>
        <w:rPr>
          <w:rFonts w:cstheme="minorHAnsi"/>
          <w:noProof/>
          <w:color w:val="FF40FF"/>
          <w:sz w:val="22"/>
          <w:szCs w:val="22"/>
        </w:rPr>
      </w:pPr>
    </w:p>
    <w:p w14:paraId="3EF12727" w14:textId="77777777" w:rsidR="005A3564" w:rsidRPr="00D935DA" w:rsidRDefault="005A3564" w:rsidP="005A3564">
      <w:pPr>
        <w:rPr>
          <w:rFonts w:cstheme="minorHAnsi"/>
          <w:noProof/>
          <w:sz w:val="22"/>
          <w:szCs w:val="22"/>
        </w:rPr>
      </w:pPr>
      <w:r w:rsidRPr="00D935DA">
        <w:rPr>
          <w:rFonts w:cstheme="minorHAnsi"/>
          <w:noProof/>
          <w:sz w:val="22"/>
          <w:szCs w:val="22"/>
        </w:rPr>
        <w:t>_____________________________</w:t>
      </w:r>
    </w:p>
    <w:p w14:paraId="4477E686" w14:textId="77777777" w:rsidR="005A3564" w:rsidRPr="00D935DA" w:rsidRDefault="005A3564" w:rsidP="005A3564">
      <w:pPr>
        <w:ind w:left="720"/>
        <w:rPr>
          <w:rFonts w:cstheme="minorHAnsi"/>
          <w:noProof/>
          <w:sz w:val="22"/>
          <w:szCs w:val="22"/>
        </w:rPr>
      </w:pPr>
      <w:r w:rsidRPr="00D935DA">
        <w:rPr>
          <w:rFonts w:cstheme="minorHAnsi"/>
          <w:noProof/>
          <w:sz w:val="22"/>
          <w:szCs w:val="22"/>
        </w:rPr>
        <w:t xml:space="preserve">       (Signature)</w:t>
      </w:r>
    </w:p>
    <w:p w14:paraId="46D376F9" w14:textId="197B99F1" w:rsidR="005A3564" w:rsidRPr="00D935DA" w:rsidRDefault="00885901" w:rsidP="005A3564">
      <w:pPr>
        <w:rPr>
          <w:rFonts w:cstheme="minorHAnsi"/>
          <w:noProof/>
          <w:color w:val="FF0000"/>
          <w:sz w:val="22"/>
          <w:szCs w:val="22"/>
        </w:rPr>
      </w:pPr>
      <w:r w:rsidRPr="00D935DA">
        <w:rPr>
          <w:rFonts w:cstheme="minorHAnsi"/>
          <w:noProof/>
          <w:color w:val="FF0000"/>
          <w:sz w:val="22"/>
          <w:szCs w:val="22"/>
        </w:rPr>
        <w:t>[Physician Name]</w:t>
      </w:r>
    </w:p>
    <w:p w14:paraId="2698CC25" w14:textId="4F3C8396" w:rsidR="00885901" w:rsidRPr="00D935DA" w:rsidRDefault="00885901" w:rsidP="005A3564">
      <w:pPr>
        <w:rPr>
          <w:rFonts w:cstheme="minorHAnsi"/>
          <w:noProof/>
          <w:color w:val="FF0000"/>
          <w:sz w:val="22"/>
          <w:szCs w:val="22"/>
        </w:rPr>
      </w:pPr>
      <w:r w:rsidRPr="00D935DA">
        <w:rPr>
          <w:rFonts w:cstheme="minorHAnsi"/>
          <w:noProof/>
          <w:color w:val="FF0000"/>
          <w:sz w:val="22"/>
          <w:szCs w:val="22"/>
        </w:rPr>
        <w:t>[Physician Street Address]</w:t>
      </w:r>
    </w:p>
    <w:p w14:paraId="54509CAE" w14:textId="2A7AE15D" w:rsidR="00885901" w:rsidRPr="00D935DA" w:rsidRDefault="00885901" w:rsidP="005A3564">
      <w:pPr>
        <w:rPr>
          <w:rFonts w:cstheme="minorHAnsi"/>
          <w:noProof/>
          <w:color w:val="FF0000"/>
          <w:sz w:val="22"/>
          <w:szCs w:val="22"/>
        </w:rPr>
      </w:pPr>
      <w:r w:rsidRPr="00D935DA">
        <w:rPr>
          <w:rFonts w:cstheme="minorHAnsi"/>
          <w:noProof/>
          <w:color w:val="FF0000"/>
          <w:sz w:val="22"/>
          <w:szCs w:val="22"/>
        </w:rPr>
        <w:t>[Physician City, State, Zip]</w:t>
      </w:r>
    </w:p>
    <w:p w14:paraId="5F2DDB38" w14:textId="5AF5E7D5" w:rsidR="00885901" w:rsidRPr="00D935DA" w:rsidRDefault="00885901" w:rsidP="005A3564">
      <w:pPr>
        <w:rPr>
          <w:rFonts w:cstheme="minorHAnsi"/>
          <w:noProof/>
          <w:color w:val="FF0000"/>
          <w:sz w:val="22"/>
          <w:szCs w:val="22"/>
        </w:rPr>
      </w:pPr>
      <w:r w:rsidRPr="00D935DA">
        <w:rPr>
          <w:rFonts w:cstheme="minorHAnsi"/>
          <w:noProof/>
          <w:color w:val="FF0000"/>
          <w:sz w:val="22"/>
          <w:szCs w:val="22"/>
        </w:rPr>
        <w:t>[Participating Provider Number]</w:t>
      </w:r>
    </w:p>
    <w:p w14:paraId="7236835B" w14:textId="3DD2D85D" w:rsidR="00885901" w:rsidRPr="00D935DA" w:rsidRDefault="00885901" w:rsidP="005A3564">
      <w:pPr>
        <w:rPr>
          <w:rFonts w:cstheme="minorHAnsi"/>
          <w:noProof/>
          <w:sz w:val="22"/>
          <w:szCs w:val="22"/>
        </w:rPr>
      </w:pPr>
      <w:r w:rsidRPr="00D935DA">
        <w:rPr>
          <w:rFonts w:cstheme="minorHAnsi"/>
          <w:noProof/>
          <w:color w:val="FF0000"/>
          <w:sz w:val="22"/>
          <w:szCs w:val="22"/>
        </w:rPr>
        <w:lastRenderedPageBreak/>
        <w:t>[Phone Number]</w:t>
      </w:r>
    </w:p>
    <w:p w14:paraId="4B997333" w14:textId="77777777" w:rsidR="00885901" w:rsidRPr="00D935DA" w:rsidRDefault="00885901" w:rsidP="005A3564">
      <w:pPr>
        <w:rPr>
          <w:rFonts w:cstheme="minorHAnsi"/>
          <w:noProof/>
          <w:sz w:val="22"/>
          <w:szCs w:val="22"/>
        </w:rPr>
      </w:pPr>
    </w:p>
    <w:p w14:paraId="34AFE664" w14:textId="7E75315D" w:rsidR="005A3564" w:rsidRPr="00D935DA" w:rsidRDefault="00885901" w:rsidP="005A3564">
      <w:pPr>
        <w:rPr>
          <w:rFonts w:cstheme="minorHAnsi"/>
          <w:noProof/>
          <w:color w:val="FF0000"/>
          <w:sz w:val="22"/>
          <w:szCs w:val="22"/>
        </w:rPr>
      </w:pPr>
      <w:r w:rsidRPr="00D935DA">
        <w:rPr>
          <w:rFonts w:cstheme="minorHAnsi"/>
          <w:noProof/>
          <w:sz w:val="22"/>
          <w:szCs w:val="22"/>
        </w:rPr>
        <w:t xml:space="preserve">Enclosures: </w:t>
      </w:r>
      <w:r w:rsidRPr="00D935DA">
        <w:rPr>
          <w:rFonts w:cstheme="minorHAnsi"/>
          <w:noProof/>
          <w:color w:val="FF0000"/>
          <w:sz w:val="22"/>
          <w:szCs w:val="22"/>
        </w:rPr>
        <w:t>[Attach original prior authorization or claim form, denial/ Explanation of Benefits, and additional supporting documents (such as patient’s treatment with IDACIO® (adalimumab-aacf)</w:t>
      </w:r>
      <w:r w:rsidR="0077520F" w:rsidRPr="00D935DA">
        <w:rPr>
          <w:rFonts w:cstheme="minorHAnsi"/>
          <w:noProof/>
          <w:color w:val="FF0000"/>
          <w:sz w:val="22"/>
          <w:szCs w:val="22"/>
        </w:rPr>
        <w:t>, medical history, diagnosis, lab results, IDACIO Brief Summary of Prescribing Information and treatment plan).]</w:t>
      </w:r>
    </w:p>
    <w:p w14:paraId="4F392397" w14:textId="77777777" w:rsidR="0077520F" w:rsidRPr="00D935DA" w:rsidRDefault="0077520F" w:rsidP="005A3564">
      <w:pPr>
        <w:rPr>
          <w:rFonts w:cstheme="minorHAnsi"/>
          <w:noProof/>
          <w:sz w:val="22"/>
          <w:szCs w:val="22"/>
        </w:rPr>
      </w:pPr>
    </w:p>
    <w:p w14:paraId="3D023281" w14:textId="77777777" w:rsidR="0077520F" w:rsidRPr="00D935DA" w:rsidRDefault="0077520F" w:rsidP="005A3564">
      <w:pPr>
        <w:rPr>
          <w:rFonts w:cstheme="minorHAnsi"/>
          <w:noProof/>
          <w:sz w:val="22"/>
          <w:szCs w:val="22"/>
        </w:rPr>
      </w:pPr>
    </w:p>
    <w:p w14:paraId="12666B03" w14:textId="03563CA3" w:rsidR="0077520F" w:rsidRPr="00D935DA" w:rsidRDefault="0077520F" w:rsidP="0077520F">
      <w:pPr>
        <w:jc w:val="center"/>
        <w:rPr>
          <w:rFonts w:cstheme="minorHAnsi"/>
          <w:noProof/>
          <w:sz w:val="22"/>
          <w:szCs w:val="22"/>
        </w:rPr>
      </w:pPr>
      <w:r w:rsidRPr="00D935DA">
        <w:rPr>
          <w:rFonts w:cstheme="minorHAnsi"/>
          <w:b/>
          <w:bCs/>
          <w:noProof/>
          <w:sz w:val="22"/>
          <w:szCs w:val="22"/>
        </w:rPr>
        <w:t>Important Safety Information</w:t>
      </w:r>
    </w:p>
    <w:p w14:paraId="04CA31FB" w14:textId="77777777" w:rsidR="0077520F" w:rsidRPr="00D935DA" w:rsidRDefault="0077520F" w:rsidP="0077520F">
      <w:pPr>
        <w:rPr>
          <w:rFonts w:cstheme="minorHAnsi"/>
          <w:noProof/>
          <w:sz w:val="22"/>
          <w:szCs w:val="22"/>
        </w:rPr>
      </w:pPr>
    </w:p>
    <w:p w14:paraId="1D07D845" w14:textId="77777777" w:rsidR="00D53666" w:rsidRDefault="00D53666" w:rsidP="00D53666">
      <w:pPr>
        <w:rPr>
          <w:rFonts w:cstheme="minorHAnsi"/>
          <w:b/>
          <w:sz w:val="22"/>
          <w:szCs w:val="22"/>
        </w:rPr>
      </w:pPr>
      <w:r w:rsidRPr="00D935DA">
        <w:rPr>
          <w:rFonts w:cstheme="minorHAnsi"/>
          <w:b/>
          <w:sz w:val="22"/>
          <w:szCs w:val="22"/>
        </w:rPr>
        <w:t>SERIOUS INFECTIONS</w:t>
      </w:r>
    </w:p>
    <w:p w14:paraId="5FAAD637" w14:textId="77777777" w:rsidR="00C11777" w:rsidRPr="00D935DA" w:rsidRDefault="00C11777" w:rsidP="00D53666">
      <w:pPr>
        <w:rPr>
          <w:rFonts w:cstheme="minorHAnsi"/>
          <w:b/>
          <w:sz w:val="22"/>
          <w:szCs w:val="22"/>
        </w:rPr>
      </w:pPr>
    </w:p>
    <w:p w14:paraId="5100811E" w14:textId="77777777" w:rsidR="00D53666" w:rsidRDefault="00D53666" w:rsidP="00D53666">
      <w:pPr>
        <w:rPr>
          <w:rFonts w:cstheme="minorHAnsi"/>
          <w:sz w:val="22"/>
          <w:szCs w:val="22"/>
        </w:rPr>
      </w:pPr>
      <w:r w:rsidRPr="00D935DA">
        <w:rPr>
          <w:rFonts w:cstheme="minorHAnsi"/>
          <w:sz w:val="22"/>
          <w:szCs w:val="22"/>
        </w:rPr>
        <w:t>Patients treated with IDACIO</w:t>
      </w:r>
      <w:r w:rsidRPr="00D935DA">
        <w:rPr>
          <w:rFonts w:cstheme="minorHAnsi"/>
          <w:sz w:val="22"/>
          <w:szCs w:val="22"/>
          <w:vertAlign w:val="superscript"/>
        </w:rPr>
        <w:t>®</w:t>
      </w:r>
      <w:r w:rsidRPr="00D935DA">
        <w:rPr>
          <w:rFonts w:cstheme="minorHAnsi"/>
          <w:sz w:val="22"/>
          <w:szCs w:val="22"/>
        </w:rPr>
        <w:t xml:space="preserve"> (adalimumab-</w:t>
      </w:r>
      <w:proofErr w:type="spellStart"/>
      <w:r w:rsidRPr="00D935DA">
        <w:rPr>
          <w:rFonts w:cstheme="minorHAnsi"/>
          <w:sz w:val="22"/>
          <w:szCs w:val="22"/>
        </w:rPr>
        <w:t>aacf</w:t>
      </w:r>
      <w:proofErr w:type="spellEnd"/>
      <w:r w:rsidRPr="00D935DA">
        <w:rPr>
          <w:rFonts w:cstheme="minorHAnsi"/>
          <w:sz w:val="22"/>
          <w:szCs w:val="22"/>
        </w:rPr>
        <w:t>)</w:t>
      </w:r>
      <w:r w:rsidRPr="00D935DA">
        <w:rPr>
          <w:rFonts w:cstheme="minorHAnsi"/>
          <w:color w:val="303030"/>
          <w:sz w:val="22"/>
          <w:szCs w:val="22"/>
          <w:shd w:val="clear" w:color="auto" w:fill="FFFFFF"/>
        </w:rPr>
        <w:t xml:space="preserve"> </w:t>
      </w:r>
      <w:r w:rsidRPr="00D935DA">
        <w:rPr>
          <w:rFonts w:cstheme="minorHAnsi"/>
          <w:sz w:val="22"/>
          <w:szCs w:val="22"/>
        </w:rPr>
        <w:t>are at increased risk for developing serious infections that may lead to hospitalization or death. Most patients who developed these infections were taking concomitant immunosuppressants such as methotrexate or corticosteroids.</w:t>
      </w:r>
    </w:p>
    <w:p w14:paraId="7C2B9644" w14:textId="77777777" w:rsidR="00C11777" w:rsidRPr="00D935DA" w:rsidRDefault="00C11777" w:rsidP="00D53666">
      <w:pPr>
        <w:rPr>
          <w:rFonts w:cstheme="minorHAnsi"/>
          <w:sz w:val="22"/>
          <w:szCs w:val="22"/>
        </w:rPr>
      </w:pPr>
    </w:p>
    <w:p w14:paraId="1B6642A1" w14:textId="77777777" w:rsidR="00D53666" w:rsidRDefault="00D53666" w:rsidP="00D53666">
      <w:pPr>
        <w:rPr>
          <w:rFonts w:cstheme="minorHAnsi"/>
          <w:sz w:val="22"/>
          <w:szCs w:val="22"/>
        </w:rPr>
      </w:pPr>
      <w:r w:rsidRPr="00D935DA">
        <w:rPr>
          <w:rFonts w:cstheme="minorHAnsi"/>
          <w:sz w:val="22"/>
          <w:szCs w:val="22"/>
        </w:rPr>
        <w:t>Discontinue IDACIO</w:t>
      </w:r>
      <w:r w:rsidRPr="00D935DA">
        <w:rPr>
          <w:rFonts w:cstheme="minorHAnsi"/>
          <w:sz w:val="22"/>
          <w:szCs w:val="22"/>
          <w:vertAlign w:val="superscript"/>
        </w:rPr>
        <w:t xml:space="preserve">® </w:t>
      </w:r>
      <w:r w:rsidRPr="00D935DA">
        <w:rPr>
          <w:rFonts w:cstheme="minorHAnsi"/>
          <w:sz w:val="22"/>
          <w:szCs w:val="22"/>
        </w:rPr>
        <w:t xml:space="preserve">if a patient develops a serious infection or sepsis. </w:t>
      </w:r>
    </w:p>
    <w:p w14:paraId="788D9937" w14:textId="77777777" w:rsidR="00C11777" w:rsidRPr="00D935DA" w:rsidRDefault="00C11777" w:rsidP="00D53666">
      <w:pPr>
        <w:rPr>
          <w:rFonts w:cstheme="minorHAnsi"/>
          <w:sz w:val="22"/>
          <w:szCs w:val="22"/>
        </w:rPr>
      </w:pPr>
    </w:p>
    <w:p w14:paraId="3D16CF17" w14:textId="77777777" w:rsidR="00D53666" w:rsidRDefault="00D53666" w:rsidP="00D53666">
      <w:pPr>
        <w:rPr>
          <w:rFonts w:cstheme="minorHAnsi"/>
          <w:sz w:val="22"/>
          <w:szCs w:val="22"/>
        </w:rPr>
      </w:pPr>
      <w:r w:rsidRPr="00D935DA">
        <w:rPr>
          <w:rFonts w:cstheme="minorHAnsi"/>
          <w:sz w:val="22"/>
          <w:szCs w:val="22"/>
        </w:rPr>
        <w:t>Reported infections include:</w:t>
      </w:r>
    </w:p>
    <w:p w14:paraId="71DC5B56" w14:textId="77777777" w:rsidR="00C11777" w:rsidRPr="00D935DA" w:rsidRDefault="00C11777" w:rsidP="00D53666">
      <w:pPr>
        <w:rPr>
          <w:rFonts w:cstheme="minorHAnsi"/>
          <w:sz w:val="22"/>
          <w:szCs w:val="22"/>
        </w:rPr>
      </w:pPr>
    </w:p>
    <w:p w14:paraId="2F136C77" w14:textId="77777777" w:rsidR="00D53666" w:rsidRPr="00D935DA" w:rsidRDefault="00D53666" w:rsidP="00D53666">
      <w:pPr>
        <w:pStyle w:val="ListParagraph"/>
        <w:numPr>
          <w:ilvl w:val="0"/>
          <w:numId w:val="1"/>
        </w:numPr>
        <w:rPr>
          <w:rFonts w:cstheme="minorHAnsi"/>
        </w:rPr>
      </w:pPr>
      <w:r w:rsidRPr="00D935DA">
        <w:rPr>
          <w:rFonts w:cstheme="minorHAnsi"/>
        </w:rPr>
        <w:t>Active tuberculosis (TB), including reactivation of latent TB. Patients with TB have frequently presented with disseminated or extrapulmonary disease. Test patients for latent TB before IDACIO</w:t>
      </w:r>
      <w:r w:rsidRPr="00D935DA">
        <w:rPr>
          <w:rFonts w:cstheme="minorHAnsi"/>
          <w:vertAlign w:val="superscript"/>
        </w:rPr>
        <w:t>®</w:t>
      </w:r>
      <w:r w:rsidRPr="00D935DA">
        <w:rPr>
          <w:rFonts w:cstheme="minorHAnsi"/>
        </w:rPr>
        <w:t xml:space="preserve"> use and during therapy. Initiate treatment for latent TB prior to IDACIO</w:t>
      </w:r>
      <w:r w:rsidRPr="00D935DA">
        <w:rPr>
          <w:rFonts w:cstheme="minorHAnsi"/>
          <w:vertAlign w:val="superscript"/>
        </w:rPr>
        <w:t>®</w:t>
      </w:r>
      <w:r w:rsidRPr="00D935DA">
        <w:rPr>
          <w:rFonts w:cstheme="minorHAnsi"/>
        </w:rPr>
        <w:t xml:space="preserve"> use.</w:t>
      </w:r>
    </w:p>
    <w:p w14:paraId="1734D32C" w14:textId="77777777" w:rsidR="00D53666" w:rsidRPr="00D935DA" w:rsidRDefault="00D53666" w:rsidP="00D53666">
      <w:pPr>
        <w:pStyle w:val="ListParagraph"/>
        <w:numPr>
          <w:ilvl w:val="0"/>
          <w:numId w:val="1"/>
        </w:numPr>
        <w:rPr>
          <w:rFonts w:cstheme="minorHAnsi"/>
        </w:rPr>
      </w:pPr>
      <w:r w:rsidRPr="00D935DA">
        <w:rPr>
          <w:rFonts w:cstheme="minorHAnsi"/>
        </w:rPr>
        <w:t xml:space="preserve">Invasive fungal infections, including histoplasmosis, coccidioidomycosis, candidiasis, aspergillosis, blastomycosis, and </w:t>
      </w:r>
      <w:proofErr w:type="spellStart"/>
      <w:r w:rsidRPr="00D935DA">
        <w:rPr>
          <w:rFonts w:cstheme="minorHAnsi"/>
        </w:rPr>
        <w:t>pneumocystosis</w:t>
      </w:r>
      <w:proofErr w:type="spellEnd"/>
      <w:r w:rsidRPr="00D935DA">
        <w:rPr>
          <w:rFonts w:cstheme="minorHAnsi"/>
        </w:rPr>
        <w:t>. Patients with histoplasmosis or other invasive fungal infections may present with disseminated, rather than localized, disease. Antigen and antibody testing for histoplasmosis may be negative in some patients with active infection. Consider empiric antifungal therapy in patients at risk for invasive fungal infections who develop severe systemic illness.</w:t>
      </w:r>
    </w:p>
    <w:p w14:paraId="6095EC77" w14:textId="17DB152D" w:rsidR="00D53666" w:rsidRPr="00D935DA" w:rsidRDefault="00D53666" w:rsidP="00D53666">
      <w:pPr>
        <w:pStyle w:val="ListParagraph"/>
        <w:numPr>
          <w:ilvl w:val="0"/>
          <w:numId w:val="1"/>
        </w:numPr>
        <w:rPr>
          <w:rFonts w:cstheme="minorHAnsi"/>
        </w:rPr>
      </w:pPr>
      <w:r w:rsidRPr="00D935DA">
        <w:rPr>
          <w:rFonts w:cstheme="minorHAnsi"/>
        </w:rPr>
        <w:t xml:space="preserve">Bacterial, </w:t>
      </w:r>
      <w:r w:rsidR="00A158BB" w:rsidRPr="00D935DA">
        <w:rPr>
          <w:rFonts w:cstheme="minorHAnsi"/>
        </w:rPr>
        <w:t>viral,</w:t>
      </w:r>
      <w:r w:rsidRPr="00D935DA">
        <w:rPr>
          <w:rFonts w:cstheme="minorHAnsi"/>
        </w:rPr>
        <w:t xml:space="preserve"> and other infections due to opportunistic pathogens, including Legionella and Listeria. </w:t>
      </w:r>
    </w:p>
    <w:p w14:paraId="729D74E2" w14:textId="77777777" w:rsidR="00D53666" w:rsidRDefault="00D53666" w:rsidP="00D53666">
      <w:pPr>
        <w:rPr>
          <w:rFonts w:cstheme="minorHAnsi"/>
          <w:sz w:val="22"/>
          <w:szCs w:val="22"/>
        </w:rPr>
      </w:pPr>
      <w:r w:rsidRPr="00D935DA">
        <w:rPr>
          <w:rFonts w:cstheme="minorHAnsi"/>
          <w:sz w:val="22"/>
          <w:szCs w:val="22"/>
        </w:rPr>
        <w:t>Carefully consider the risks and benefits of treatment with IDACIO</w:t>
      </w:r>
      <w:r w:rsidRPr="00D935DA">
        <w:rPr>
          <w:rFonts w:cstheme="minorHAnsi"/>
          <w:sz w:val="22"/>
          <w:szCs w:val="22"/>
          <w:vertAlign w:val="superscript"/>
        </w:rPr>
        <w:t>®</w:t>
      </w:r>
      <w:r w:rsidRPr="00D935DA">
        <w:rPr>
          <w:rFonts w:cstheme="minorHAnsi"/>
          <w:sz w:val="22"/>
          <w:szCs w:val="22"/>
        </w:rPr>
        <w:t xml:space="preserve"> prior to initiating therapy in patients: 1. with chronic or recurrent infection, 2. who have been exposed to TB, 3. with a history of opportunistic infection, 4. who resided in or traveled in regions where mycoses are endemic, 5. with underlying conditions that may predispose them to infection. Monitor patients closely for the development of signs and symptoms of infection during and after treatment with IDACIO</w:t>
      </w:r>
      <w:r w:rsidRPr="00D935DA">
        <w:rPr>
          <w:rFonts w:cstheme="minorHAnsi"/>
          <w:sz w:val="22"/>
          <w:szCs w:val="22"/>
          <w:vertAlign w:val="superscript"/>
        </w:rPr>
        <w:t>®</w:t>
      </w:r>
      <w:r w:rsidRPr="00D935DA">
        <w:rPr>
          <w:rFonts w:cstheme="minorHAnsi"/>
          <w:sz w:val="22"/>
          <w:szCs w:val="22"/>
        </w:rPr>
        <w:t>, including the possible development of TB in patients who tested negative for latent TB infection prior to initiating therapy.</w:t>
      </w:r>
    </w:p>
    <w:p w14:paraId="457550A5" w14:textId="77777777" w:rsidR="00C11777" w:rsidRPr="00D935DA" w:rsidRDefault="00C11777" w:rsidP="00D53666">
      <w:pPr>
        <w:rPr>
          <w:rFonts w:cstheme="minorHAnsi"/>
          <w:sz w:val="22"/>
          <w:szCs w:val="22"/>
        </w:rPr>
      </w:pPr>
    </w:p>
    <w:p w14:paraId="1D99F246" w14:textId="77777777" w:rsidR="00D53666" w:rsidRDefault="00D53666" w:rsidP="00D53666">
      <w:pPr>
        <w:rPr>
          <w:rFonts w:cstheme="minorHAnsi"/>
          <w:sz w:val="22"/>
          <w:szCs w:val="22"/>
        </w:rPr>
      </w:pPr>
      <w:r w:rsidRPr="00D935DA">
        <w:rPr>
          <w:rFonts w:cstheme="minorHAnsi"/>
          <w:sz w:val="22"/>
          <w:szCs w:val="22"/>
        </w:rPr>
        <w:t>Treatment with IDACIO</w:t>
      </w:r>
      <w:r w:rsidRPr="00D935DA">
        <w:rPr>
          <w:rFonts w:cstheme="minorHAnsi"/>
          <w:sz w:val="22"/>
          <w:szCs w:val="22"/>
          <w:vertAlign w:val="superscript"/>
        </w:rPr>
        <w:t>®</w:t>
      </w:r>
      <w:r w:rsidRPr="00D935DA">
        <w:rPr>
          <w:rFonts w:cstheme="minorHAnsi"/>
          <w:sz w:val="22"/>
          <w:szCs w:val="22"/>
        </w:rPr>
        <w:t xml:space="preserve"> should not be initiated in patients with an active infection, including localized infections. </w:t>
      </w:r>
    </w:p>
    <w:p w14:paraId="7600B23B" w14:textId="77777777" w:rsidR="00C11777" w:rsidRPr="00D935DA" w:rsidRDefault="00C11777" w:rsidP="00D53666">
      <w:pPr>
        <w:rPr>
          <w:rFonts w:cstheme="minorHAnsi"/>
          <w:sz w:val="22"/>
          <w:szCs w:val="22"/>
        </w:rPr>
      </w:pPr>
    </w:p>
    <w:p w14:paraId="35F017C2" w14:textId="684298E7" w:rsidR="00D53666" w:rsidRDefault="00D53666" w:rsidP="00D53666">
      <w:pPr>
        <w:rPr>
          <w:rFonts w:cstheme="minorHAnsi"/>
          <w:sz w:val="22"/>
          <w:szCs w:val="22"/>
        </w:rPr>
      </w:pPr>
      <w:r w:rsidRPr="00D935DA">
        <w:rPr>
          <w:rFonts w:cstheme="minorHAnsi"/>
          <w:sz w:val="22"/>
          <w:szCs w:val="22"/>
        </w:rPr>
        <w:t xml:space="preserve">Patients 65 years of age and older, patients with co-morbid conditions and/or patients taking concomitant immunosuppressants (such as corticosteroids or methotrexate), may be at greater risk of infection. </w:t>
      </w:r>
    </w:p>
    <w:p w14:paraId="276A222C" w14:textId="77777777" w:rsidR="00C11777" w:rsidRPr="00D935DA" w:rsidRDefault="00C11777" w:rsidP="00D53666">
      <w:pPr>
        <w:rPr>
          <w:rFonts w:cstheme="minorHAnsi"/>
          <w:sz w:val="22"/>
          <w:szCs w:val="22"/>
        </w:rPr>
      </w:pPr>
    </w:p>
    <w:p w14:paraId="56CC4D62" w14:textId="77777777" w:rsidR="00D53666" w:rsidRDefault="00D53666" w:rsidP="00D53666">
      <w:pPr>
        <w:rPr>
          <w:rFonts w:cstheme="minorHAnsi"/>
          <w:sz w:val="22"/>
          <w:szCs w:val="22"/>
        </w:rPr>
      </w:pPr>
      <w:r w:rsidRPr="00D935DA">
        <w:rPr>
          <w:rFonts w:cstheme="minorHAnsi"/>
          <w:sz w:val="22"/>
          <w:szCs w:val="22"/>
        </w:rPr>
        <w:t>Discontinue IDACIO</w:t>
      </w:r>
      <w:r w:rsidRPr="00D935DA">
        <w:rPr>
          <w:rFonts w:cstheme="minorHAnsi"/>
          <w:sz w:val="22"/>
          <w:szCs w:val="22"/>
          <w:vertAlign w:val="superscript"/>
        </w:rPr>
        <w:t>®</w:t>
      </w:r>
      <w:r w:rsidRPr="00D935DA">
        <w:rPr>
          <w:rFonts w:cstheme="minorHAnsi"/>
          <w:sz w:val="22"/>
          <w:szCs w:val="22"/>
        </w:rPr>
        <w:t xml:space="preserve"> if a patient develops a serious infection or sepsis. For a patient who develops a new infection during treatment with IDACIO</w:t>
      </w:r>
      <w:r w:rsidRPr="00D935DA">
        <w:rPr>
          <w:rFonts w:cstheme="minorHAnsi"/>
          <w:sz w:val="22"/>
          <w:szCs w:val="22"/>
          <w:vertAlign w:val="superscript"/>
        </w:rPr>
        <w:t>®</w:t>
      </w:r>
      <w:r w:rsidRPr="00D935DA">
        <w:rPr>
          <w:rFonts w:cstheme="minorHAnsi"/>
          <w:sz w:val="22"/>
          <w:szCs w:val="22"/>
        </w:rPr>
        <w:t xml:space="preserve">, closely monitor them, perform a prompt and complete </w:t>
      </w:r>
      <w:r w:rsidRPr="00D935DA">
        <w:rPr>
          <w:rFonts w:cstheme="minorHAnsi"/>
          <w:sz w:val="22"/>
          <w:szCs w:val="22"/>
        </w:rPr>
        <w:lastRenderedPageBreak/>
        <w:t>diagnostic workup appropriate for an immunocompromised patient, and initiate appropriate antimicrobial therapy.</w:t>
      </w:r>
    </w:p>
    <w:p w14:paraId="7B917BF0" w14:textId="77777777" w:rsidR="00C11777" w:rsidRPr="00D935DA" w:rsidRDefault="00C11777" w:rsidP="00D53666">
      <w:pPr>
        <w:rPr>
          <w:rFonts w:cstheme="minorHAnsi"/>
          <w:sz w:val="22"/>
          <w:szCs w:val="22"/>
        </w:rPr>
      </w:pPr>
    </w:p>
    <w:p w14:paraId="76C1959F" w14:textId="77777777" w:rsidR="00D53666" w:rsidRPr="00D935DA" w:rsidRDefault="00D53666" w:rsidP="00D53666">
      <w:pPr>
        <w:rPr>
          <w:rFonts w:cstheme="minorHAnsi"/>
          <w:sz w:val="22"/>
          <w:szCs w:val="22"/>
        </w:rPr>
      </w:pPr>
      <w:r w:rsidRPr="00D935DA">
        <w:rPr>
          <w:rFonts w:cstheme="minorHAnsi"/>
          <w:sz w:val="22"/>
          <w:szCs w:val="22"/>
        </w:rPr>
        <w:t>Drug interactions with biologic products: A higher rate of serious infections has been observed in RA patients treated with rituximab who received subsequent treatment with a TNF blocker. An increased risk of serious infections has been seen with the combination of TNF blockers with anakinra or abatacept, with no demonstrated added benefit in patients with RA. Concomitant administration of adalimumab products with other biologic DMARDs (e.g., anakinra or abatacept) or other TNF blockers is not recommended based on the possible increased risk for infections and other potential pharmacological interactions.</w:t>
      </w:r>
    </w:p>
    <w:p w14:paraId="7B95D99D" w14:textId="77777777" w:rsidR="00D53666" w:rsidRPr="00D935DA" w:rsidRDefault="00D53666" w:rsidP="00D53666">
      <w:pPr>
        <w:rPr>
          <w:rFonts w:cstheme="minorHAnsi"/>
          <w:sz w:val="22"/>
          <w:szCs w:val="22"/>
        </w:rPr>
      </w:pPr>
    </w:p>
    <w:p w14:paraId="3ECA48C2" w14:textId="77777777" w:rsidR="00D53666" w:rsidRDefault="00D53666" w:rsidP="00D53666">
      <w:pPr>
        <w:rPr>
          <w:rFonts w:cstheme="minorHAnsi"/>
          <w:b/>
          <w:bCs/>
          <w:sz w:val="22"/>
          <w:szCs w:val="22"/>
        </w:rPr>
      </w:pPr>
      <w:r w:rsidRPr="00D935DA">
        <w:rPr>
          <w:rFonts w:cstheme="minorHAnsi"/>
          <w:b/>
          <w:bCs/>
          <w:sz w:val="22"/>
          <w:szCs w:val="22"/>
        </w:rPr>
        <w:t>MALIGNANCY</w:t>
      </w:r>
    </w:p>
    <w:p w14:paraId="72DFF8C4" w14:textId="77777777" w:rsidR="00C11777" w:rsidRPr="00D935DA" w:rsidRDefault="00C11777" w:rsidP="00D53666">
      <w:pPr>
        <w:rPr>
          <w:rFonts w:cstheme="minorHAnsi"/>
          <w:b/>
          <w:bCs/>
          <w:sz w:val="22"/>
          <w:szCs w:val="22"/>
        </w:rPr>
      </w:pPr>
    </w:p>
    <w:p w14:paraId="71560387" w14:textId="77777777" w:rsidR="00D53666" w:rsidRDefault="00D53666" w:rsidP="00D53666">
      <w:pPr>
        <w:rPr>
          <w:rFonts w:cstheme="minorHAnsi"/>
          <w:sz w:val="22"/>
          <w:szCs w:val="22"/>
        </w:rPr>
      </w:pPr>
      <w:r w:rsidRPr="00D935DA">
        <w:rPr>
          <w:rFonts w:cstheme="minorHAnsi"/>
          <w:sz w:val="22"/>
          <w:szCs w:val="22"/>
        </w:rPr>
        <w:t xml:space="preserve">Lymphoma and other malignancies, some fatal, have been reported in children and adolescent patients treated with TNF blockers, including adalimumab products. Post-marketing cases of hepatosplenic T-cell lymphoma (HSTCL), a rare type of T-cell lymphoma, have been reported in patients treated with TNF blockers including adalimumab products. These cases have had a very aggressive disease course and have been fatal. </w:t>
      </w:r>
      <w:proofErr w:type="gramStart"/>
      <w:r w:rsidRPr="00D935DA">
        <w:rPr>
          <w:rFonts w:cstheme="minorHAnsi"/>
          <w:sz w:val="22"/>
          <w:szCs w:val="22"/>
        </w:rPr>
        <w:t>The majority of</w:t>
      </w:r>
      <w:proofErr w:type="gramEnd"/>
      <w:r w:rsidRPr="00D935DA">
        <w:rPr>
          <w:rFonts w:cstheme="minorHAnsi"/>
          <w:sz w:val="22"/>
          <w:szCs w:val="22"/>
        </w:rPr>
        <w:t xml:space="preserve"> reported TNF blocker cases have occurred in patients with Crohn's disease or ulcerative colitis and the majority were in adolescent and young adult males. Almost all these patients had received treatment with azathioprine or 6-mercaptopurine concomitantly with a TNF blocker at or prior to diagnosis. It is uncertain whether the occurrence of HSTCL is related to use of a TNF blocker or a TNF blocker in combination with these other immunosuppressants</w:t>
      </w:r>
    </w:p>
    <w:p w14:paraId="538A70C5" w14:textId="77777777" w:rsidR="00C11777" w:rsidRPr="00D935DA" w:rsidRDefault="00C11777" w:rsidP="00D53666">
      <w:pPr>
        <w:rPr>
          <w:rFonts w:cstheme="minorHAnsi"/>
          <w:sz w:val="22"/>
          <w:szCs w:val="22"/>
        </w:rPr>
      </w:pPr>
    </w:p>
    <w:p w14:paraId="0BD25612" w14:textId="77777777" w:rsidR="00D53666" w:rsidRPr="00D935DA" w:rsidRDefault="00D53666" w:rsidP="00D53666">
      <w:pPr>
        <w:numPr>
          <w:ilvl w:val="0"/>
          <w:numId w:val="2"/>
        </w:numPr>
        <w:spacing w:after="160" w:line="259" w:lineRule="auto"/>
        <w:contextualSpacing/>
        <w:rPr>
          <w:rFonts w:cstheme="minorHAnsi"/>
          <w:sz w:val="22"/>
          <w:szCs w:val="22"/>
        </w:rPr>
      </w:pPr>
      <w:r w:rsidRPr="00D935DA">
        <w:rPr>
          <w:rFonts w:cstheme="minorHAnsi"/>
          <w:sz w:val="22"/>
          <w:szCs w:val="22"/>
        </w:rPr>
        <w:t>Consider the risks and benefits of TNF-blocker treatment prior to initiating or continuing therapy in a patient with known malignancy.</w:t>
      </w:r>
    </w:p>
    <w:p w14:paraId="1F3CA61D" w14:textId="77777777" w:rsidR="00D53666" w:rsidRPr="00D935DA" w:rsidRDefault="00D53666" w:rsidP="00D53666">
      <w:pPr>
        <w:numPr>
          <w:ilvl w:val="0"/>
          <w:numId w:val="2"/>
        </w:numPr>
        <w:spacing w:after="160" w:line="259" w:lineRule="auto"/>
        <w:contextualSpacing/>
        <w:rPr>
          <w:rFonts w:cstheme="minorHAnsi"/>
          <w:sz w:val="22"/>
          <w:szCs w:val="22"/>
        </w:rPr>
      </w:pPr>
      <w:r w:rsidRPr="00D935DA">
        <w:rPr>
          <w:rFonts w:cstheme="minorHAnsi"/>
          <w:sz w:val="22"/>
          <w:szCs w:val="22"/>
        </w:rPr>
        <w:t>In clinical trials of some TNF-blockers, including adalimumab products, more cases of malignancies were observed among TNF-blocker-treated patients compared to control patients.</w:t>
      </w:r>
    </w:p>
    <w:p w14:paraId="74BD7B80" w14:textId="77777777" w:rsidR="00D53666" w:rsidRPr="00D935DA" w:rsidRDefault="00D53666" w:rsidP="00D53666">
      <w:pPr>
        <w:numPr>
          <w:ilvl w:val="0"/>
          <w:numId w:val="2"/>
        </w:numPr>
        <w:spacing w:after="160" w:line="259" w:lineRule="auto"/>
        <w:contextualSpacing/>
        <w:rPr>
          <w:rFonts w:cstheme="minorHAnsi"/>
          <w:sz w:val="22"/>
          <w:szCs w:val="22"/>
        </w:rPr>
      </w:pPr>
      <w:r w:rsidRPr="00D935DA">
        <w:rPr>
          <w:rFonts w:cstheme="minorHAnsi"/>
          <w:sz w:val="22"/>
          <w:szCs w:val="22"/>
        </w:rPr>
        <w:t>Non-melanoma skin cancer (NMSC) was reported during clinical trials for adalimumab-treated patients. Examine all patients, particularly those with a history of prolonged immunosuppressant or PUVA therapy, for the presence of NMSC prior to and during treatment with IDACIO</w:t>
      </w:r>
      <w:r w:rsidRPr="00D935DA">
        <w:rPr>
          <w:rFonts w:cstheme="minorHAnsi"/>
          <w:sz w:val="22"/>
          <w:szCs w:val="22"/>
          <w:vertAlign w:val="superscript"/>
        </w:rPr>
        <w:t>®</w:t>
      </w:r>
      <w:r w:rsidRPr="00D935DA">
        <w:rPr>
          <w:rFonts w:cstheme="minorHAnsi"/>
          <w:sz w:val="22"/>
          <w:szCs w:val="22"/>
        </w:rPr>
        <w:t>.</w:t>
      </w:r>
    </w:p>
    <w:p w14:paraId="2437DCF4" w14:textId="77777777" w:rsidR="00D53666" w:rsidRPr="00D935DA" w:rsidRDefault="00D53666" w:rsidP="00D53666">
      <w:pPr>
        <w:numPr>
          <w:ilvl w:val="0"/>
          <w:numId w:val="2"/>
        </w:numPr>
        <w:spacing w:after="160" w:line="259" w:lineRule="auto"/>
        <w:contextualSpacing/>
        <w:rPr>
          <w:rFonts w:cstheme="minorHAnsi"/>
          <w:sz w:val="22"/>
          <w:szCs w:val="22"/>
        </w:rPr>
      </w:pPr>
      <w:r w:rsidRPr="00D935DA">
        <w:rPr>
          <w:rFonts w:cstheme="minorHAnsi"/>
          <w:sz w:val="22"/>
          <w:szCs w:val="22"/>
        </w:rPr>
        <w:t>In adalimumab clinical trials, there was an approximate 3-fold higher rate of lymphoma than expected in the general U.S. population. Patients with chronic inflammatory diseases, particularly those with highly active disease and/or chronic exposure to immunosuppressant therapies, may be at higher risk of lymphoma than the general population, even in the absence of TNF blockers.</w:t>
      </w:r>
    </w:p>
    <w:p w14:paraId="0E24556F" w14:textId="77777777" w:rsidR="00D53666" w:rsidRPr="00D935DA" w:rsidRDefault="00D53666" w:rsidP="00D53666">
      <w:pPr>
        <w:numPr>
          <w:ilvl w:val="0"/>
          <w:numId w:val="2"/>
        </w:numPr>
        <w:spacing w:after="160" w:line="259" w:lineRule="auto"/>
        <w:contextualSpacing/>
        <w:rPr>
          <w:rFonts w:cstheme="minorHAnsi"/>
          <w:sz w:val="22"/>
          <w:szCs w:val="22"/>
        </w:rPr>
      </w:pPr>
      <w:proofErr w:type="spellStart"/>
      <w:r w:rsidRPr="00D935DA">
        <w:rPr>
          <w:rFonts w:cstheme="minorHAnsi"/>
          <w:sz w:val="22"/>
          <w:szCs w:val="22"/>
        </w:rPr>
        <w:t>Postmarketing</w:t>
      </w:r>
      <w:proofErr w:type="spellEnd"/>
      <w:r w:rsidRPr="00D935DA">
        <w:rPr>
          <w:rFonts w:cstheme="minorHAnsi"/>
          <w:sz w:val="22"/>
          <w:szCs w:val="22"/>
        </w:rPr>
        <w:t xml:space="preserve"> cases of acute and chronic leukemia were reported with TNF blocker use. Approximately half of the </w:t>
      </w:r>
      <w:proofErr w:type="spellStart"/>
      <w:r w:rsidRPr="00D935DA">
        <w:rPr>
          <w:rFonts w:cstheme="minorHAnsi"/>
          <w:sz w:val="22"/>
          <w:szCs w:val="22"/>
        </w:rPr>
        <w:t>postmarketing</w:t>
      </w:r>
      <w:proofErr w:type="spellEnd"/>
      <w:r w:rsidRPr="00D935DA">
        <w:rPr>
          <w:rFonts w:cstheme="minorHAnsi"/>
          <w:sz w:val="22"/>
          <w:szCs w:val="22"/>
        </w:rPr>
        <w:t xml:space="preserve"> cases of malignancies in children, adolescents, and young adults receiving TNF blockers were lymphomas; other cases included rare malignancies associated with immunosuppression and malignancies not usually observed in children and adolescents.</w:t>
      </w:r>
    </w:p>
    <w:p w14:paraId="22EE402B" w14:textId="77777777" w:rsidR="00D53666" w:rsidRPr="00D935DA" w:rsidRDefault="00D53666" w:rsidP="00D53666">
      <w:pPr>
        <w:rPr>
          <w:rFonts w:cstheme="minorHAnsi"/>
          <w:sz w:val="22"/>
          <w:szCs w:val="22"/>
        </w:rPr>
      </w:pPr>
    </w:p>
    <w:p w14:paraId="292077FB" w14:textId="77777777" w:rsidR="00D53666" w:rsidRDefault="00D53666" w:rsidP="00D53666">
      <w:pPr>
        <w:rPr>
          <w:rFonts w:cstheme="minorHAnsi"/>
          <w:b/>
          <w:bCs/>
          <w:sz w:val="22"/>
          <w:szCs w:val="22"/>
        </w:rPr>
      </w:pPr>
      <w:r w:rsidRPr="00D935DA">
        <w:rPr>
          <w:rFonts w:cstheme="minorHAnsi"/>
          <w:b/>
          <w:bCs/>
          <w:sz w:val="22"/>
          <w:szCs w:val="22"/>
        </w:rPr>
        <w:t>HYPERSENSITIVITY</w:t>
      </w:r>
    </w:p>
    <w:p w14:paraId="2404CC07" w14:textId="77777777" w:rsidR="00C11777" w:rsidRPr="00D935DA" w:rsidRDefault="00C11777" w:rsidP="00D53666">
      <w:pPr>
        <w:rPr>
          <w:rFonts w:cstheme="minorHAnsi"/>
          <w:b/>
          <w:bCs/>
          <w:sz w:val="22"/>
          <w:szCs w:val="22"/>
        </w:rPr>
      </w:pPr>
    </w:p>
    <w:p w14:paraId="5DA7A12A" w14:textId="77777777" w:rsidR="00D53666" w:rsidRPr="00D935DA" w:rsidRDefault="00D53666" w:rsidP="00D53666">
      <w:pPr>
        <w:rPr>
          <w:rFonts w:cstheme="minorHAnsi"/>
          <w:sz w:val="22"/>
          <w:szCs w:val="22"/>
        </w:rPr>
      </w:pPr>
      <w:r w:rsidRPr="00D935DA">
        <w:rPr>
          <w:rFonts w:cstheme="minorHAnsi"/>
          <w:sz w:val="22"/>
          <w:szCs w:val="22"/>
        </w:rPr>
        <w:t xml:space="preserve">Anaphylaxis and angioneurotic edema have been reported following administration of adalimumab products. If an anaphylactic or other serious allergic reaction occurs, immediately discontinue </w:t>
      </w:r>
      <w:r w:rsidRPr="00D935DA">
        <w:rPr>
          <w:rFonts w:cstheme="minorHAnsi"/>
          <w:sz w:val="22"/>
          <w:szCs w:val="22"/>
        </w:rPr>
        <w:lastRenderedPageBreak/>
        <w:t>administration of IDACIO</w:t>
      </w:r>
      <w:r w:rsidRPr="00D935DA">
        <w:rPr>
          <w:rFonts w:cstheme="minorHAnsi"/>
          <w:sz w:val="22"/>
          <w:szCs w:val="22"/>
          <w:vertAlign w:val="superscript"/>
        </w:rPr>
        <w:t>®</w:t>
      </w:r>
      <w:r w:rsidRPr="00D935DA">
        <w:rPr>
          <w:rFonts w:cstheme="minorHAnsi"/>
          <w:sz w:val="22"/>
          <w:szCs w:val="22"/>
        </w:rPr>
        <w:t xml:space="preserve"> and institute appropriate therapy. In clinical trials of adalimumab, hypersensitivity reactions (e.g., rash, anaphylactoid reaction, fixed drug reaction, non-specified drug reaction, urticaria) have been observed.</w:t>
      </w:r>
    </w:p>
    <w:p w14:paraId="02DE9EF4" w14:textId="77777777" w:rsidR="00D53666" w:rsidRPr="00D935DA" w:rsidRDefault="00D53666" w:rsidP="00D53666">
      <w:pPr>
        <w:rPr>
          <w:rFonts w:cstheme="minorHAnsi"/>
          <w:sz w:val="22"/>
          <w:szCs w:val="22"/>
        </w:rPr>
      </w:pPr>
    </w:p>
    <w:p w14:paraId="3184B030" w14:textId="77777777" w:rsidR="00D53666" w:rsidRDefault="00D53666" w:rsidP="00D53666">
      <w:pPr>
        <w:rPr>
          <w:rFonts w:cstheme="minorHAnsi"/>
          <w:b/>
          <w:bCs/>
          <w:sz w:val="22"/>
          <w:szCs w:val="22"/>
        </w:rPr>
      </w:pPr>
      <w:r w:rsidRPr="00D935DA">
        <w:rPr>
          <w:rFonts w:cstheme="minorHAnsi"/>
          <w:b/>
          <w:bCs/>
          <w:sz w:val="22"/>
          <w:szCs w:val="22"/>
        </w:rPr>
        <w:t>HEPATITIS B VIRUS REACTIVATION</w:t>
      </w:r>
    </w:p>
    <w:p w14:paraId="025C4CEE" w14:textId="77777777" w:rsidR="00C11777" w:rsidRPr="00D935DA" w:rsidRDefault="00C11777" w:rsidP="00D53666">
      <w:pPr>
        <w:rPr>
          <w:rFonts w:cstheme="minorHAnsi"/>
          <w:b/>
          <w:bCs/>
          <w:sz w:val="22"/>
          <w:szCs w:val="22"/>
        </w:rPr>
      </w:pPr>
    </w:p>
    <w:p w14:paraId="4A67E819" w14:textId="77777777" w:rsidR="00D53666" w:rsidRDefault="00D53666" w:rsidP="00D53666">
      <w:pPr>
        <w:rPr>
          <w:rFonts w:cstheme="minorHAnsi"/>
          <w:sz w:val="22"/>
          <w:szCs w:val="22"/>
        </w:rPr>
      </w:pPr>
      <w:r w:rsidRPr="00D935DA">
        <w:rPr>
          <w:rFonts w:cstheme="minorHAnsi"/>
          <w:sz w:val="22"/>
          <w:szCs w:val="22"/>
        </w:rPr>
        <w:t>Use of TNF blockers, including IDACIO</w:t>
      </w:r>
      <w:r w:rsidRPr="00D935DA">
        <w:rPr>
          <w:rFonts w:cstheme="minorHAnsi"/>
          <w:sz w:val="22"/>
          <w:szCs w:val="22"/>
          <w:vertAlign w:val="superscript"/>
        </w:rPr>
        <w:t>®</w:t>
      </w:r>
      <w:r w:rsidRPr="00D935DA">
        <w:rPr>
          <w:rFonts w:cstheme="minorHAnsi"/>
          <w:sz w:val="22"/>
          <w:szCs w:val="22"/>
        </w:rPr>
        <w:t>, may increase the risk of reactivation of hepatitis B virus (HBV) in patients who are chronic carriers of this virus. In some instances, HBV reactivation occurring in conjunction with TNF blocker therapy has been fatal.</w:t>
      </w:r>
    </w:p>
    <w:p w14:paraId="5C7D59DA" w14:textId="77777777" w:rsidR="00C11777" w:rsidRPr="00D935DA" w:rsidRDefault="00C11777" w:rsidP="00D53666">
      <w:pPr>
        <w:rPr>
          <w:rFonts w:cstheme="minorHAnsi"/>
          <w:sz w:val="22"/>
          <w:szCs w:val="22"/>
        </w:rPr>
      </w:pPr>
    </w:p>
    <w:p w14:paraId="0F3FDC94" w14:textId="77777777" w:rsidR="00D53666" w:rsidRDefault="00D53666" w:rsidP="00D53666">
      <w:pPr>
        <w:rPr>
          <w:rFonts w:cstheme="minorHAnsi"/>
          <w:sz w:val="22"/>
          <w:szCs w:val="22"/>
        </w:rPr>
      </w:pPr>
      <w:r w:rsidRPr="00D935DA">
        <w:rPr>
          <w:rFonts w:cstheme="minorHAnsi"/>
          <w:sz w:val="22"/>
          <w:szCs w:val="22"/>
        </w:rPr>
        <w:t xml:space="preserve">Evaluate patients at risk for HBV infection for prior evidence of HBV infection before initiating TNF blocker therapy. </w:t>
      </w:r>
    </w:p>
    <w:p w14:paraId="4DF0CBDF" w14:textId="77777777" w:rsidR="00C11777" w:rsidRPr="00D935DA" w:rsidRDefault="00C11777" w:rsidP="00D53666">
      <w:pPr>
        <w:rPr>
          <w:rFonts w:cstheme="minorHAnsi"/>
          <w:sz w:val="22"/>
          <w:szCs w:val="22"/>
        </w:rPr>
      </w:pPr>
    </w:p>
    <w:p w14:paraId="1FFDD6E9" w14:textId="77777777" w:rsidR="00D53666" w:rsidRDefault="00D53666" w:rsidP="00D53666">
      <w:pPr>
        <w:rPr>
          <w:rFonts w:cstheme="minorHAnsi"/>
          <w:sz w:val="22"/>
          <w:szCs w:val="22"/>
        </w:rPr>
      </w:pPr>
      <w:r w:rsidRPr="00D935DA">
        <w:rPr>
          <w:rFonts w:cstheme="minorHAnsi"/>
          <w:sz w:val="22"/>
          <w:szCs w:val="22"/>
        </w:rPr>
        <w:t>Exercise caution in prescribing TNF blockers for patients identified as carriers of HBV.</w:t>
      </w:r>
    </w:p>
    <w:p w14:paraId="44E8E08B" w14:textId="77777777" w:rsidR="00C11777" w:rsidRPr="00D935DA" w:rsidRDefault="00C11777" w:rsidP="00D53666">
      <w:pPr>
        <w:rPr>
          <w:rFonts w:cstheme="minorHAnsi"/>
          <w:sz w:val="22"/>
          <w:szCs w:val="22"/>
        </w:rPr>
      </w:pPr>
    </w:p>
    <w:p w14:paraId="682A6483" w14:textId="77777777" w:rsidR="00D53666" w:rsidRPr="00D935DA" w:rsidRDefault="00D53666" w:rsidP="00D53666">
      <w:pPr>
        <w:rPr>
          <w:rFonts w:cstheme="minorHAnsi"/>
          <w:sz w:val="22"/>
          <w:szCs w:val="22"/>
        </w:rPr>
      </w:pPr>
      <w:r w:rsidRPr="00D935DA">
        <w:rPr>
          <w:rFonts w:cstheme="minorHAnsi"/>
          <w:sz w:val="22"/>
          <w:szCs w:val="22"/>
        </w:rPr>
        <w:t>In patients who develop HBV reactivation, stop IDACIO</w:t>
      </w:r>
      <w:r w:rsidRPr="00D935DA">
        <w:rPr>
          <w:rFonts w:cstheme="minorHAnsi"/>
          <w:sz w:val="22"/>
          <w:szCs w:val="22"/>
          <w:vertAlign w:val="superscript"/>
        </w:rPr>
        <w:t>®</w:t>
      </w:r>
      <w:r w:rsidRPr="00D935DA">
        <w:rPr>
          <w:rFonts w:cstheme="minorHAnsi"/>
          <w:sz w:val="22"/>
          <w:szCs w:val="22"/>
        </w:rPr>
        <w:t xml:space="preserve"> and initiate effective anti-viral therapy with appropriate supportive treatment. The safety of resuming TNF blocker therapy after HBV reactivation is controlled is not known. Therefore, exercise caution when considering resumption of IDACIO</w:t>
      </w:r>
      <w:r w:rsidRPr="00D935DA">
        <w:rPr>
          <w:rFonts w:cstheme="minorHAnsi"/>
          <w:sz w:val="22"/>
          <w:szCs w:val="22"/>
          <w:vertAlign w:val="superscript"/>
        </w:rPr>
        <w:t>®</w:t>
      </w:r>
      <w:r w:rsidRPr="00D935DA">
        <w:rPr>
          <w:rFonts w:cstheme="minorHAnsi"/>
          <w:sz w:val="22"/>
          <w:szCs w:val="22"/>
        </w:rPr>
        <w:t xml:space="preserve"> therapy in this situation and monitor patients closely.</w:t>
      </w:r>
    </w:p>
    <w:p w14:paraId="3D5ED473" w14:textId="77777777" w:rsidR="00D53666" w:rsidRPr="00D935DA" w:rsidRDefault="00D53666" w:rsidP="00D53666">
      <w:pPr>
        <w:rPr>
          <w:rFonts w:cstheme="minorHAnsi"/>
          <w:sz w:val="22"/>
          <w:szCs w:val="22"/>
        </w:rPr>
      </w:pPr>
    </w:p>
    <w:p w14:paraId="7A0917F7" w14:textId="77777777" w:rsidR="00D53666" w:rsidRDefault="00D53666" w:rsidP="00D53666">
      <w:pPr>
        <w:rPr>
          <w:rFonts w:cstheme="minorHAnsi"/>
          <w:b/>
          <w:sz w:val="22"/>
          <w:szCs w:val="22"/>
        </w:rPr>
      </w:pPr>
      <w:r w:rsidRPr="00D935DA">
        <w:rPr>
          <w:rFonts w:cstheme="minorHAnsi"/>
          <w:b/>
          <w:sz w:val="22"/>
          <w:szCs w:val="22"/>
        </w:rPr>
        <w:t>NEUROLOGICAL REACTIONS</w:t>
      </w:r>
    </w:p>
    <w:p w14:paraId="07EB983E" w14:textId="77777777" w:rsidR="00251DDC" w:rsidRPr="00D935DA" w:rsidRDefault="00251DDC" w:rsidP="00D53666">
      <w:pPr>
        <w:rPr>
          <w:rFonts w:cstheme="minorHAnsi"/>
          <w:b/>
          <w:sz w:val="22"/>
          <w:szCs w:val="22"/>
        </w:rPr>
      </w:pPr>
    </w:p>
    <w:p w14:paraId="49E956EA" w14:textId="77777777" w:rsidR="00D53666" w:rsidRDefault="00D53666" w:rsidP="00D53666">
      <w:pPr>
        <w:rPr>
          <w:rFonts w:cstheme="minorHAnsi"/>
          <w:sz w:val="22"/>
          <w:szCs w:val="22"/>
        </w:rPr>
      </w:pPr>
      <w:r w:rsidRPr="00D935DA">
        <w:rPr>
          <w:rFonts w:cstheme="minorHAnsi"/>
          <w:sz w:val="22"/>
          <w:szCs w:val="22"/>
        </w:rPr>
        <w:t xml:space="preserve">Use of TNF blocking agents, including adalimumab products, has been associated with rare cases of new onset or exacerbation of clinical symptoms and/or radiographic evidence of central nervous system demyelinating disease, including multiple sclerosis (MS) and optic neuritis, and peripheral demyelinating disease, including Guillain-Barré syndrome. </w:t>
      </w:r>
    </w:p>
    <w:p w14:paraId="4796D127" w14:textId="77777777" w:rsidR="00251DDC" w:rsidRPr="00D935DA" w:rsidRDefault="00251DDC" w:rsidP="00D53666">
      <w:pPr>
        <w:rPr>
          <w:rFonts w:cstheme="minorHAnsi"/>
          <w:sz w:val="22"/>
          <w:szCs w:val="22"/>
        </w:rPr>
      </w:pPr>
    </w:p>
    <w:p w14:paraId="17B83656" w14:textId="77777777" w:rsidR="00D53666" w:rsidRPr="00D935DA" w:rsidRDefault="00D53666" w:rsidP="00D53666">
      <w:pPr>
        <w:rPr>
          <w:rFonts w:cstheme="minorHAnsi"/>
          <w:sz w:val="22"/>
          <w:szCs w:val="22"/>
        </w:rPr>
      </w:pPr>
      <w:r w:rsidRPr="00D935DA">
        <w:rPr>
          <w:rFonts w:cstheme="minorHAnsi"/>
          <w:sz w:val="22"/>
          <w:szCs w:val="22"/>
        </w:rPr>
        <w:t>Exercise caution in considering the use of IDACIO</w:t>
      </w:r>
      <w:r w:rsidRPr="00D935DA">
        <w:rPr>
          <w:rFonts w:cstheme="minorHAnsi"/>
          <w:sz w:val="22"/>
          <w:szCs w:val="22"/>
          <w:vertAlign w:val="superscript"/>
        </w:rPr>
        <w:t>®</w:t>
      </w:r>
      <w:r w:rsidRPr="00D935DA">
        <w:rPr>
          <w:rFonts w:cstheme="minorHAnsi"/>
          <w:sz w:val="22"/>
          <w:szCs w:val="22"/>
        </w:rPr>
        <w:t xml:space="preserve"> in patients with pre-existing or recent-onset central or peripheral nervous system demyelinating disorders; discontinuation of IDACIO</w:t>
      </w:r>
      <w:r w:rsidRPr="00D935DA">
        <w:rPr>
          <w:rFonts w:cstheme="minorHAnsi"/>
          <w:sz w:val="22"/>
          <w:szCs w:val="22"/>
          <w:vertAlign w:val="superscript"/>
        </w:rPr>
        <w:t>®</w:t>
      </w:r>
      <w:r w:rsidRPr="00D935DA">
        <w:rPr>
          <w:rFonts w:cstheme="minorHAnsi"/>
          <w:sz w:val="22"/>
          <w:szCs w:val="22"/>
        </w:rPr>
        <w:t xml:space="preserve"> should be considered if any of these disorders develop.</w:t>
      </w:r>
    </w:p>
    <w:p w14:paraId="1109473A" w14:textId="77777777" w:rsidR="00D53666" w:rsidRPr="00D935DA" w:rsidRDefault="00D53666" w:rsidP="00D53666">
      <w:pPr>
        <w:rPr>
          <w:rFonts w:cstheme="minorHAnsi"/>
          <w:sz w:val="22"/>
          <w:szCs w:val="22"/>
        </w:rPr>
      </w:pPr>
    </w:p>
    <w:p w14:paraId="2BFE4893" w14:textId="77777777" w:rsidR="00D53666" w:rsidRDefault="00D53666" w:rsidP="00D53666">
      <w:pPr>
        <w:rPr>
          <w:rFonts w:cstheme="minorHAnsi"/>
          <w:b/>
          <w:bCs/>
          <w:sz w:val="22"/>
          <w:szCs w:val="22"/>
        </w:rPr>
      </w:pPr>
      <w:r w:rsidRPr="00D935DA">
        <w:rPr>
          <w:rFonts w:cstheme="minorHAnsi"/>
          <w:b/>
          <w:bCs/>
          <w:sz w:val="22"/>
          <w:szCs w:val="22"/>
        </w:rPr>
        <w:t>HEMATOLOGICAL REACTIONS</w:t>
      </w:r>
    </w:p>
    <w:p w14:paraId="31E9F932" w14:textId="77777777" w:rsidR="00251DDC" w:rsidRPr="00D935DA" w:rsidRDefault="00251DDC" w:rsidP="00D53666">
      <w:pPr>
        <w:rPr>
          <w:rFonts w:cstheme="minorHAnsi"/>
          <w:b/>
          <w:bCs/>
          <w:sz w:val="22"/>
          <w:szCs w:val="22"/>
        </w:rPr>
      </w:pPr>
    </w:p>
    <w:p w14:paraId="5532F456" w14:textId="77777777" w:rsidR="00D53666" w:rsidRDefault="00D53666" w:rsidP="00D53666">
      <w:pPr>
        <w:rPr>
          <w:rFonts w:cstheme="minorHAnsi"/>
          <w:sz w:val="22"/>
          <w:szCs w:val="22"/>
        </w:rPr>
      </w:pPr>
      <w:r w:rsidRPr="00D935DA">
        <w:rPr>
          <w:rFonts w:cstheme="minorHAnsi"/>
          <w:sz w:val="22"/>
          <w:szCs w:val="22"/>
        </w:rPr>
        <w:t xml:space="preserve">Rare reports of pancytopenia, including aplastic anemia, have been reported with TNF blockers. Medically significant cytopenia has been infrequently reported with adalimumab products. </w:t>
      </w:r>
    </w:p>
    <w:p w14:paraId="4168EB38" w14:textId="77777777" w:rsidR="00251DDC" w:rsidRPr="00D935DA" w:rsidRDefault="00251DDC" w:rsidP="00D53666">
      <w:pPr>
        <w:rPr>
          <w:rFonts w:cstheme="minorHAnsi"/>
          <w:sz w:val="22"/>
          <w:szCs w:val="22"/>
        </w:rPr>
      </w:pPr>
    </w:p>
    <w:p w14:paraId="1ED46548" w14:textId="77777777" w:rsidR="00D53666" w:rsidRPr="00D935DA" w:rsidRDefault="00D53666" w:rsidP="00D53666">
      <w:pPr>
        <w:rPr>
          <w:rFonts w:cstheme="minorHAnsi"/>
          <w:sz w:val="22"/>
          <w:szCs w:val="22"/>
        </w:rPr>
      </w:pPr>
      <w:r w:rsidRPr="00D935DA">
        <w:rPr>
          <w:rFonts w:cstheme="minorHAnsi"/>
          <w:sz w:val="22"/>
          <w:szCs w:val="22"/>
        </w:rPr>
        <w:t>Consider stopping IDACIO</w:t>
      </w:r>
      <w:r w:rsidRPr="00D935DA">
        <w:rPr>
          <w:rFonts w:cstheme="minorHAnsi"/>
          <w:sz w:val="22"/>
          <w:szCs w:val="22"/>
          <w:vertAlign w:val="superscript"/>
        </w:rPr>
        <w:t>®</w:t>
      </w:r>
      <w:r w:rsidRPr="00D935DA">
        <w:rPr>
          <w:rFonts w:cstheme="minorHAnsi"/>
          <w:sz w:val="22"/>
          <w:szCs w:val="22"/>
        </w:rPr>
        <w:t xml:space="preserve"> if significant hematologic abnormalities occur.</w:t>
      </w:r>
    </w:p>
    <w:p w14:paraId="553E2D0F" w14:textId="77777777" w:rsidR="00D53666" w:rsidRPr="00D935DA" w:rsidRDefault="00D53666" w:rsidP="00D53666">
      <w:pPr>
        <w:rPr>
          <w:rFonts w:cstheme="minorHAnsi"/>
          <w:b/>
          <w:sz w:val="22"/>
          <w:szCs w:val="22"/>
        </w:rPr>
      </w:pPr>
    </w:p>
    <w:p w14:paraId="4D53713D" w14:textId="77777777" w:rsidR="00D53666" w:rsidRDefault="00D53666" w:rsidP="00D53666">
      <w:pPr>
        <w:rPr>
          <w:rFonts w:cstheme="minorHAnsi"/>
          <w:b/>
          <w:sz w:val="22"/>
          <w:szCs w:val="22"/>
        </w:rPr>
      </w:pPr>
      <w:r w:rsidRPr="00D935DA">
        <w:rPr>
          <w:rFonts w:cstheme="minorHAnsi"/>
          <w:b/>
          <w:sz w:val="22"/>
          <w:szCs w:val="22"/>
        </w:rPr>
        <w:t>CONGESTIVE HEART FAILURE</w:t>
      </w:r>
    </w:p>
    <w:p w14:paraId="29A60113" w14:textId="77777777" w:rsidR="00251DDC" w:rsidRPr="00D935DA" w:rsidRDefault="00251DDC" w:rsidP="00D53666">
      <w:pPr>
        <w:rPr>
          <w:rFonts w:cstheme="minorHAnsi"/>
          <w:b/>
          <w:sz w:val="22"/>
          <w:szCs w:val="22"/>
        </w:rPr>
      </w:pPr>
    </w:p>
    <w:p w14:paraId="152C145E" w14:textId="77777777" w:rsidR="00D53666" w:rsidRPr="00D935DA" w:rsidRDefault="00D53666" w:rsidP="00D53666">
      <w:pPr>
        <w:rPr>
          <w:rFonts w:cstheme="minorHAnsi"/>
          <w:sz w:val="22"/>
          <w:szCs w:val="22"/>
        </w:rPr>
      </w:pPr>
      <w:r w:rsidRPr="00D935DA">
        <w:rPr>
          <w:rFonts w:cstheme="minorHAnsi"/>
          <w:sz w:val="22"/>
          <w:szCs w:val="22"/>
        </w:rPr>
        <w:t>Worsening or new onset congestive heart failure (CHF) may occur; exercise caution and monitor carefully.</w:t>
      </w:r>
    </w:p>
    <w:p w14:paraId="57162081" w14:textId="77777777" w:rsidR="00D53666" w:rsidRPr="00D935DA" w:rsidRDefault="00D53666" w:rsidP="00D53666">
      <w:pPr>
        <w:rPr>
          <w:rFonts w:cstheme="minorHAnsi"/>
          <w:sz w:val="22"/>
          <w:szCs w:val="22"/>
        </w:rPr>
      </w:pPr>
    </w:p>
    <w:p w14:paraId="06E9E436" w14:textId="77777777" w:rsidR="00D53666" w:rsidRDefault="00D53666" w:rsidP="00D53666">
      <w:pPr>
        <w:rPr>
          <w:rFonts w:cstheme="minorHAnsi"/>
          <w:b/>
          <w:sz w:val="22"/>
          <w:szCs w:val="22"/>
        </w:rPr>
      </w:pPr>
      <w:r w:rsidRPr="00D935DA">
        <w:rPr>
          <w:rFonts w:cstheme="minorHAnsi"/>
          <w:b/>
          <w:sz w:val="22"/>
          <w:szCs w:val="22"/>
        </w:rPr>
        <w:t>AUTOIMMUNITY</w:t>
      </w:r>
    </w:p>
    <w:p w14:paraId="3DB9B2F0" w14:textId="77777777" w:rsidR="00251DDC" w:rsidRPr="00D935DA" w:rsidRDefault="00251DDC" w:rsidP="00D53666">
      <w:pPr>
        <w:rPr>
          <w:rFonts w:cstheme="minorHAnsi"/>
          <w:b/>
          <w:sz w:val="22"/>
          <w:szCs w:val="22"/>
        </w:rPr>
      </w:pPr>
    </w:p>
    <w:p w14:paraId="55E49BF2" w14:textId="77777777" w:rsidR="00D53666" w:rsidRPr="00D935DA" w:rsidRDefault="00D53666" w:rsidP="00D53666">
      <w:pPr>
        <w:rPr>
          <w:rFonts w:cstheme="minorHAnsi"/>
          <w:sz w:val="22"/>
          <w:szCs w:val="22"/>
        </w:rPr>
      </w:pPr>
      <w:r w:rsidRPr="00D935DA">
        <w:rPr>
          <w:rFonts w:cstheme="minorHAnsi"/>
          <w:sz w:val="22"/>
          <w:szCs w:val="22"/>
        </w:rPr>
        <w:t>Treatment with adalimumab products may result in the formation of autoantibodies and, rarely, in development of a lupus-like syndrome. Discontinue treatment if symptoms of a lupus-like syndrome develop.</w:t>
      </w:r>
    </w:p>
    <w:p w14:paraId="3E3F72D3" w14:textId="77777777" w:rsidR="00D53666" w:rsidRPr="00D935DA" w:rsidRDefault="00D53666" w:rsidP="00D53666">
      <w:pPr>
        <w:rPr>
          <w:rFonts w:cstheme="minorHAnsi"/>
          <w:sz w:val="22"/>
          <w:szCs w:val="22"/>
        </w:rPr>
      </w:pPr>
    </w:p>
    <w:p w14:paraId="2324CF50" w14:textId="77777777" w:rsidR="00D53666" w:rsidRDefault="00D53666" w:rsidP="00D53666">
      <w:pPr>
        <w:rPr>
          <w:rFonts w:cstheme="minorHAnsi"/>
          <w:b/>
          <w:sz w:val="22"/>
          <w:szCs w:val="22"/>
        </w:rPr>
      </w:pPr>
      <w:r w:rsidRPr="00D935DA">
        <w:rPr>
          <w:rFonts w:cstheme="minorHAnsi"/>
          <w:b/>
          <w:sz w:val="22"/>
          <w:szCs w:val="22"/>
        </w:rPr>
        <w:t>IMMUNIZATIONS</w:t>
      </w:r>
    </w:p>
    <w:p w14:paraId="17B610D7" w14:textId="77777777" w:rsidR="00251DDC" w:rsidRPr="00D935DA" w:rsidRDefault="00251DDC" w:rsidP="00D53666">
      <w:pPr>
        <w:rPr>
          <w:rFonts w:cstheme="minorHAnsi"/>
          <w:b/>
          <w:bCs/>
          <w:sz w:val="22"/>
          <w:szCs w:val="22"/>
        </w:rPr>
      </w:pPr>
    </w:p>
    <w:p w14:paraId="5631EE8D" w14:textId="77777777" w:rsidR="00D53666" w:rsidRPr="00D935DA" w:rsidRDefault="00D53666" w:rsidP="00D53666">
      <w:pPr>
        <w:rPr>
          <w:rFonts w:cstheme="minorHAnsi"/>
          <w:sz w:val="22"/>
          <w:szCs w:val="22"/>
        </w:rPr>
      </w:pPr>
      <w:r w:rsidRPr="00D935DA">
        <w:rPr>
          <w:rFonts w:cstheme="minorHAnsi"/>
          <w:sz w:val="22"/>
          <w:szCs w:val="22"/>
        </w:rPr>
        <w:t>Patients on IDACIO</w:t>
      </w:r>
      <w:r w:rsidRPr="00D935DA">
        <w:rPr>
          <w:rFonts w:cstheme="minorHAnsi"/>
          <w:sz w:val="22"/>
          <w:szCs w:val="22"/>
          <w:vertAlign w:val="superscript"/>
        </w:rPr>
        <w:t>®</w:t>
      </w:r>
      <w:r w:rsidRPr="00D935DA">
        <w:rPr>
          <w:rFonts w:cstheme="minorHAnsi"/>
          <w:sz w:val="22"/>
          <w:szCs w:val="22"/>
        </w:rPr>
        <w:t xml:space="preserve"> should not receive live vaccines. Pediatric patients, if possible, should be brought up to date with all immunizations before initiating IDACIO</w:t>
      </w:r>
      <w:r w:rsidRPr="00D935DA">
        <w:rPr>
          <w:rFonts w:cstheme="minorHAnsi"/>
          <w:sz w:val="22"/>
          <w:szCs w:val="22"/>
          <w:vertAlign w:val="superscript"/>
        </w:rPr>
        <w:t>®</w:t>
      </w:r>
      <w:r w:rsidRPr="00D935DA">
        <w:rPr>
          <w:rFonts w:cstheme="minorHAnsi"/>
          <w:sz w:val="22"/>
          <w:szCs w:val="22"/>
        </w:rPr>
        <w:t xml:space="preserve"> therapy. The safety of administering live or live-attenuated vaccines in infants exposed to adalimumab products in utero is unknown. Risks and benefits should be considered prior to vaccinating (live or live-attenuated) exposed infants.</w:t>
      </w:r>
    </w:p>
    <w:p w14:paraId="549983CB" w14:textId="77777777" w:rsidR="00D53666" w:rsidRPr="00D935DA" w:rsidRDefault="00D53666" w:rsidP="00D53666">
      <w:pPr>
        <w:rPr>
          <w:rFonts w:cstheme="minorHAnsi"/>
          <w:b/>
          <w:bCs/>
          <w:sz w:val="22"/>
          <w:szCs w:val="22"/>
        </w:rPr>
      </w:pPr>
    </w:p>
    <w:p w14:paraId="2061E428" w14:textId="77777777" w:rsidR="00D53666" w:rsidRDefault="00D53666" w:rsidP="00D53666">
      <w:pPr>
        <w:rPr>
          <w:rFonts w:cstheme="minorHAnsi"/>
          <w:b/>
          <w:bCs/>
          <w:sz w:val="22"/>
          <w:szCs w:val="22"/>
        </w:rPr>
      </w:pPr>
      <w:r w:rsidRPr="00D935DA">
        <w:rPr>
          <w:rFonts w:cstheme="minorHAnsi"/>
          <w:b/>
          <w:bCs/>
          <w:sz w:val="22"/>
          <w:szCs w:val="22"/>
        </w:rPr>
        <w:t>ADVERSE REACTIONS</w:t>
      </w:r>
    </w:p>
    <w:p w14:paraId="1D135510" w14:textId="77777777" w:rsidR="00251DDC" w:rsidRPr="00D935DA" w:rsidRDefault="00251DDC" w:rsidP="00D53666">
      <w:pPr>
        <w:rPr>
          <w:rFonts w:cstheme="minorHAnsi"/>
          <w:b/>
          <w:bCs/>
          <w:sz w:val="22"/>
          <w:szCs w:val="22"/>
        </w:rPr>
      </w:pPr>
    </w:p>
    <w:p w14:paraId="667A8B1A" w14:textId="77777777" w:rsidR="00D53666" w:rsidRPr="00D935DA" w:rsidRDefault="00D53666" w:rsidP="00D53666">
      <w:pPr>
        <w:rPr>
          <w:rFonts w:cstheme="minorHAnsi"/>
          <w:sz w:val="22"/>
          <w:szCs w:val="22"/>
        </w:rPr>
      </w:pPr>
      <w:r w:rsidRPr="00D935DA">
        <w:rPr>
          <w:rFonts w:cstheme="minorHAnsi"/>
          <w:sz w:val="22"/>
          <w:szCs w:val="22"/>
        </w:rPr>
        <w:t xml:space="preserve">The most common adverse reactions in adalimumab clinical trials (&gt;10%) </w:t>
      </w:r>
      <w:proofErr w:type="gramStart"/>
      <w:r w:rsidRPr="00D935DA">
        <w:rPr>
          <w:rFonts w:cstheme="minorHAnsi"/>
          <w:sz w:val="22"/>
          <w:szCs w:val="22"/>
        </w:rPr>
        <w:t>were:</w:t>
      </w:r>
      <w:proofErr w:type="gramEnd"/>
      <w:r w:rsidRPr="00D935DA">
        <w:rPr>
          <w:rFonts w:cstheme="minorHAnsi"/>
          <w:sz w:val="22"/>
          <w:szCs w:val="22"/>
        </w:rPr>
        <w:t xml:space="preserve"> infections (e.g. upper respiratory, sinusitis), injection site reactions, headache and rash.</w:t>
      </w:r>
    </w:p>
    <w:p w14:paraId="0637439C" w14:textId="77777777" w:rsidR="00D53666" w:rsidRPr="00D935DA" w:rsidRDefault="00D53666" w:rsidP="00D53666">
      <w:pPr>
        <w:rPr>
          <w:rFonts w:cstheme="minorHAnsi"/>
          <w:sz w:val="22"/>
          <w:szCs w:val="22"/>
        </w:rPr>
      </w:pPr>
    </w:p>
    <w:p w14:paraId="11295F03" w14:textId="77777777" w:rsidR="00D53666" w:rsidRDefault="00D53666" w:rsidP="00D53666">
      <w:pPr>
        <w:rPr>
          <w:rFonts w:cstheme="minorHAnsi"/>
          <w:b/>
          <w:bCs/>
          <w:sz w:val="22"/>
          <w:szCs w:val="22"/>
        </w:rPr>
      </w:pPr>
      <w:r w:rsidRPr="00D935DA">
        <w:rPr>
          <w:rFonts w:cstheme="minorHAnsi"/>
          <w:b/>
          <w:bCs/>
          <w:sz w:val="22"/>
          <w:szCs w:val="22"/>
        </w:rPr>
        <w:t>INDICATIONS</w:t>
      </w:r>
    </w:p>
    <w:p w14:paraId="3363AD1B" w14:textId="77777777" w:rsidR="00251DDC" w:rsidRPr="00D935DA" w:rsidRDefault="00251DDC" w:rsidP="00D53666">
      <w:pPr>
        <w:rPr>
          <w:rFonts w:cstheme="minorHAnsi"/>
          <w:b/>
          <w:bCs/>
          <w:sz w:val="22"/>
          <w:szCs w:val="22"/>
        </w:rPr>
      </w:pPr>
    </w:p>
    <w:p w14:paraId="7B2EB76D" w14:textId="77777777" w:rsidR="00D53666" w:rsidRPr="00D935DA" w:rsidRDefault="00D53666" w:rsidP="00D53666">
      <w:pPr>
        <w:pStyle w:val="ListParagraph"/>
        <w:numPr>
          <w:ilvl w:val="0"/>
          <w:numId w:val="3"/>
        </w:numPr>
        <w:rPr>
          <w:rFonts w:cstheme="minorHAnsi"/>
        </w:rPr>
      </w:pPr>
      <w:r w:rsidRPr="00D935DA">
        <w:rPr>
          <w:rFonts w:cstheme="minorHAnsi"/>
        </w:rPr>
        <w:t>Rheumatoid Arthritis (RA): reducing signs and symptoms, inducing major clinical response, inhibiting the progression of structural damage, and improving physical function in adult patients with moderately to severely active RA.</w:t>
      </w:r>
    </w:p>
    <w:p w14:paraId="4A3FB96C" w14:textId="77777777" w:rsidR="00D53666" w:rsidRPr="00D935DA" w:rsidRDefault="00D53666" w:rsidP="00D53666">
      <w:pPr>
        <w:pStyle w:val="ListParagraph"/>
        <w:numPr>
          <w:ilvl w:val="0"/>
          <w:numId w:val="3"/>
        </w:numPr>
        <w:rPr>
          <w:rFonts w:cstheme="minorHAnsi"/>
        </w:rPr>
      </w:pPr>
      <w:r w:rsidRPr="00D935DA">
        <w:rPr>
          <w:rFonts w:cstheme="minorHAnsi"/>
        </w:rPr>
        <w:t>Juvenile Idiopathic Arthritis (JIA): reducing signs and symptoms of moderately to severely active polyarticular JIA in patients 2 years of age and older.</w:t>
      </w:r>
    </w:p>
    <w:p w14:paraId="09B94293" w14:textId="77777777" w:rsidR="00D53666" w:rsidRPr="00D935DA" w:rsidRDefault="00D53666" w:rsidP="00D53666">
      <w:pPr>
        <w:pStyle w:val="ListParagraph"/>
        <w:numPr>
          <w:ilvl w:val="0"/>
          <w:numId w:val="3"/>
        </w:numPr>
        <w:rPr>
          <w:rFonts w:cstheme="minorHAnsi"/>
        </w:rPr>
      </w:pPr>
      <w:r w:rsidRPr="00D935DA">
        <w:rPr>
          <w:rFonts w:cstheme="minorHAnsi"/>
        </w:rPr>
        <w:t xml:space="preserve">Psoriatic Arthritis (PsA): reducing signs and symptoms, inhibiting the progression of structural damage, and improving physical function in adult patients with active </w:t>
      </w:r>
      <w:proofErr w:type="spellStart"/>
      <w:r w:rsidRPr="00D935DA">
        <w:rPr>
          <w:rFonts w:cstheme="minorHAnsi"/>
        </w:rPr>
        <w:t>PsA.</w:t>
      </w:r>
      <w:proofErr w:type="spellEnd"/>
    </w:p>
    <w:p w14:paraId="233BA8D1" w14:textId="77777777" w:rsidR="00D53666" w:rsidRPr="00D935DA" w:rsidRDefault="00D53666" w:rsidP="00D53666">
      <w:pPr>
        <w:pStyle w:val="ListParagraph"/>
        <w:numPr>
          <w:ilvl w:val="0"/>
          <w:numId w:val="3"/>
        </w:numPr>
        <w:rPr>
          <w:rFonts w:cstheme="minorHAnsi"/>
        </w:rPr>
      </w:pPr>
      <w:r w:rsidRPr="00D935DA">
        <w:rPr>
          <w:rFonts w:cstheme="minorHAnsi"/>
        </w:rPr>
        <w:t>Ankylosing Spondylitis (AS): reducing signs and symptoms in adult patients with active AS.</w:t>
      </w:r>
    </w:p>
    <w:p w14:paraId="42C8223B" w14:textId="77777777" w:rsidR="00D53666" w:rsidRPr="00D935DA" w:rsidRDefault="00D53666" w:rsidP="00D53666">
      <w:pPr>
        <w:pStyle w:val="ListParagraph"/>
        <w:numPr>
          <w:ilvl w:val="0"/>
          <w:numId w:val="3"/>
        </w:numPr>
        <w:rPr>
          <w:rFonts w:cstheme="minorHAnsi"/>
        </w:rPr>
      </w:pPr>
      <w:r w:rsidRPr="00D935DA">
        <w:rPr>
          <w:rFonts w:cstheme="minorHAnsi"/>
        </w:rPr>
        <w:t>Crohn’s Disease (CD): treatment of moderately to severely active Crohn’s disease in adults and pediatric patients 6 years of age and older.</w:t>
      </w:r>
    </w:p>
    <w:p w14:paraId="12D61624" w14:textId="77777777" w:rsidR="00D53666" w:rsidRPr="00D935DA" w:rsidRDefault="00D53666" w:rsidP="00D53666">
      <w:pPr>
        <w:pStyle w:val="ListParagraph"/>
        <w:numPr>
          <w:ilvl w:val="0"/>
          <w:numId w:val="3"/>
        </w:numPr>
        <w:rPr>
          <w:rFonts w:cstheme="minorHAnsi"/>
        </w:rPr>
      </w:pPr>
      <w:r w:rsidRPr="00D935DA">
        <w:rPr>
          <w:rFonts w:cstheme="minorHAnsi"/>
        </w:rPr>
        <w:t>Ulcerative Colitis (UC): treatment of moderately to severely active ulcerative colitis in adult patients.</w:t>
      </w:r>
    </w:p>
    <w:p w14:paraId="3A1C1B5A" w14:textId="77777777" w:rsidR="00D53666" w:rsidRPr="00D935DA" w:rsidRDefault="00D53666" w:rsidP="00D53666">
      <w:pPr>
        <w:pStyle w:val="ListParagraph"/>
        <w:rPr>
          <w:rFonts w:cstheme="minorHAnsi"/>
        </w:rPr>
      </w:pPr>
      <w:r w:rsidRPr="00D935DA">
        <w:rPr>
          <w:rFonts w:cstheme="minorHAnsi"/>
          <w:u w:val="single"/>
        </w:rPr>
        <w:t>Limitations of Use:</w:t>
      </w:r>
      <w:r w:rsidRPr="00D935DA">
        <w:rPr>
          <w:rFonts w:cstheme="minorHAnsi"/>
        </w:rPr>
        <w:t xml:space="preserve"> Effectiveness has not been established in patients who have lost response to or were intolerant to TNF blockers.</w:t>
      </w:r>
    </w:p>
    <w:p w14:paraId="63520EFB" w14:textId="77777777" w:rsidR="00D53666" w:rsidRPr="00D935DA" w:rsidRDefault="00D53666" w:rsidP="00D53666">
      <w:pPr>
        <w:pStyle w:val="ListParagraph"/>
        <w:numPr>
          <w:ilvl w:val="0"/>
          <w:numId w:val="3"/>
        </w:numPr>
        <w:rPr>
          <w:rFonts w:cstheme="minorHAnsi"/>
        </w:rPr>
      </w:pPr>
      <w:r w:rsidRPr="00D935DA">
        <w:rPr>
          <w:rFonts w:cstheme="minorHAnsi"/>
        </w:rPr>
        <w:t>Plaque Psoriasis (Ps): treatment of adult patients with moderate to severe chronic plaque psoriasis who are candidates for systemic therapy or phototherapy, and when other systemic therapies are medically less appropriate.</w:t>
      </w:r>
    </w:p>
    <w:p w14:paraId="5E15915E" w14:textId="0C9695C6" w:rsidR="00D53666" w:rsidRPr="00D935DA" w:rsidRDefault="00D53666" w:rsidP="00D53666">
      <w:pPr>
        <w:rPr>
          <w:rFonts w:cstheme="minorHAnsi"/>
          <w:b/>
          <w:sz w:val="22"/>
          <w:szCs w:val="22"/>
        </w:rPr>
      </w:pPr>
      <w:r w:rsidRPr="00D935DA">
        <w:rPr>
          <w:rFonts w:cstheme="minorHAnsi"/>
          <w:b/>
          <w:bCs/>
          <w:sz w:val="22"/>
          <w:szCs w:val="22"/>
        </w:rPr>
        <w:t>Please see full Prescribing Information</w:t>
      </w:r>
      <w:r w:rsidR="001B7162" w:rsidRPr="00D935DA">
        <w:rPr>
          <w:rFonts w:cstheme="minorHAnsi"/>
          <w:b/>
          <w:bCs/>
          <w:sz w:val="22"/>
          <w:szCs w:val="22"/>
        </w:rPr>
        <w:t xml:space="preserve">, including Boxed WARNING, and </w:t>
      </w:r>
      <w:r w:rsidR="00582331">
        <w:rPr>
          <w:rFonts w:cstheme="minorHAnsi"/>
          <w:b/>
          <w:bCs/>
          <w:sz w:val="22"/>
          <w:szCs w:val="22"/>
        </w:rPr>
        <w:t>M</w:t>
      </w:r>
      <w:r w:rsidR="001B7162" w:rsidRPr="00D935DA">
        <w:rPr>
          <w:rFonts w:cstheme="minorHAnsi"/>
          <w:b/>
          <w:bCs/>
          <w:sz w:val="22"/>
          <w:szCs w:val="22"/>
        </w:rPr>
        <w:t xml:space="preserve">edication </w:t>
      </w:r>
      <w:r w:rsidR="00582331">
        <w:rPr>
          <w:rFonts w:cstheme="minorHAnsi"/>
          <w:b/>
          <w:bCs/>
          <w:sz w:val="22"/>
          <w:szCs w:val="22"/>
        </w:rPr>
        <w:t>G</w:t>
      </w:r>
      <w:r w:rsidR="001B7162" w:rsidRPr="00D935DA">
        <w:rPr>
          <w:rFonts w:cstheme="minorHAnsi"/>
          <w:b/>
          <w:bCs/>
          <w:sz w:val="22"/>
          <w:szCs w:val="22"/>
        </w:rPr>
        <w:t>uide</w:t>
      </w:r>
      <w:r w:rsidR="00FD787C" w:rsidRPr="00D935DA">
        <w:rPr>
          <w:rFonts w:cstheme="minorHAnsi"/>
          <w:b/>
          <w:bCs/>
          <w:sz w:val="22"/>
          <w:szCs w:val="22"/>
        </w:rPr>
        <w:t xml:space="preserve"> for IDACIO</w:t>
      </w:r>
      <w:r w:rsidR="00FD787C" w:rsidRPr="00D935DA">
        <w:rPr>
          <w:rFonts w:cstheme="minorHAnsi"/>
          <w:sz w:val="22"/>
          <w:szCs w:val="22"/>
          <w:vertAlign w:val="superscript"/>
        </w:rPr>
        <w:t xml:space="preserve">® </w:t>
      </w:r>
      <w:r w:rsidR="00FD787C" w:rsidRPr="00D935DA">
        <w:rPr>
          <w:rFonts w:cstheme="minorHAnsi"/>
          <w:b/>
          <w:bCs/>
          <w:sz w:val="22"/>
          <w:szCs w:val="22"/>
        </w:rPr>
        <w:t>(adalimumab-</w:t>
      </w:r>
      <w:proofErr w:type="spellStart"/>
      <w:r w:rsidR="00FD787C" w:rsidRPr="00D935DA">
        <w:rPr>
          <w:rFonts w:cstheme="minorHAnsi"/>
          <w:b/>
          <w:bCs/>
          <w:sz w:val="22"/>
          <w:szCs w:val="22"/>
        </w:rPr>
        <w:t>aacf</w:t>
      </w:r>
      <w:proofErr w:type="spellEnd"/>
      <w:r w:rsidR="00FD787C" w:rsidRPr="00D935DA">
        <w:rPr>
          <w:rFonts w:cstheme="minorHAnsi"/>
          <w:b/>
          <w:bCs/>
          <w:sz w:val="22"/>
          <w:szCs w:val="22"/>
        </w:rPr>
        <w:t>) at www.idaciohcp.com</w:t>
      </w:r>
      <w:r w:rsidRPr="00D935DA">
        <w:rPr>
          <w:rFonts w:cstheme="minorHAnsi"/>
          <w:b/>
          <w:bCs/>
          <w:sz w:val="22"/>
          <w:szCs w:val="22"/>
        </w:rPr>
        <w:t xml:space="preserve">. </w:t>
      </w:r>
    </w:p>
    <w:p w14:paraId="0BB67405" w14:textId="77777777" w:rsidR="0077520F" w:rsidRPr="00D935DA" w:rsidRDefault="0077520F" w:rsidP="0077520F">
      <w:pPr>
        <w:rPr>
          <w:rFonts w:cstheme="minorHAnsi"/>
          <w:noProof/>
          <w:color w:val="FF40FF"/>
          <w:sz w:val="22"/>
          <w:szCs w:val="22"/>
        </w:rPr>
      </w:pPr>
    </w:p>
    <w:p w14:paraId="5B266331" w14:textId="77777777" w:rsidR="005A3564" w:rsidRPr="00D935DA" w:rsidRDefault="005A3564" w:rsidP="005A3564">
      <w:pPr>
        <w:rPr>
          <w:rFonts w:cstheme="minorHAnsi"/>
          <w:sz w:val="22"/>
          <w:szCs w:val="22"/>
        </w:rPr>
      </w:pPr>
    </w:p>
    <w:p w14:paraId="52B99849" w14:textId="77777777" w:rsidR="00081D9A" w:rsidRPr="00D935DA" w:rsidRDefault="00081D9A">
      <w:pPr>
        <w:rPr>
          <w:rFonts w:cstheme="minorHAnsi"/>
          <w:sz w:val="22"/>
          <w:szCs w:val="22"/>
        </w:rPr>
      </w:pPr>
    </w:p>
    <w:sectPr w:rsidR="00081D9A" w:rsidRPr="00D935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5A2C" w14:textId="77777777" w:rsidR="006B584E" w:rsidRDefault="006B584E" w:rsidP="005A3564">
      <w:r>
        <w:separator/>
      </w:r>
    </w:p>
  </w:endnote>
  <w:endnote w:type="continuationSeparator" w:id="0">
    <w:p w14:paraId="4AEB7305" w14:textId="77777777" w:rsidR="006B584E" w:rsidRDefault="006B584E" w:rsidP="005A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B264" w14:textId="77777777" w:rsidR="006B584E" w:rsidRDefault="006B584E" w:rsidP="005A3564">
      <w:r>
        <w:separator/>
      </w:r>
    </w:p>
  </w:footnote>
  <w:footnote w:type="continuationSeparator" w:id="0">
    <w:p w14:paraId="54DF8105" w14:textId="77777777" w:rsidR="006B584E" w:rsidRDefault="006B584E" w:rsidP="005A3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F10DF"/>
    <w:multiLevelType w:val="multilevel"/>
    <w:tmpl w:val="CB50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8D3318"/>
    <w:multiLevelType w:val="hybridMultilevel"/>
    <w:tmpl w:val="9876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5D3F9D"/>
    <w:multiLevelType w:val="hybridMultilevel"/>
    <w:tmpl w:val="5810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64"/>
    <w:rsid w:val="00003547"/>
    <w:rsid w:val="000377B9"/>
    <w:rsid w:val="00081D9A"/>
    <w:rsid w:val="000950E4"/>
    <w:rsid w:val="001B7162"/>
    <w:rsid w:val="00251DDC"/>
    <w:rsid w:val="002527C6"/>
    <w:rsid w:val="00302BAA"/>
    <w:rsid w:val="0043646C"/>
    <w:rsid w:val="004404DA"/>
    <w:rsid w:val="00441098"/>
    <w:rsid w:val="004954C4"/>
    <w:rsid w:val="0051636E"/>
    <w:rsid w:val="00582331"/>
    <w:rsid w:val="005A3564"/>
    <w:rsid w:val="00634FEB"/>
    <w:rsid w:val="006B584E"/>
    <w:rsid w:val="006F362B"/>
    <w:rsid w:val="00702537"/>
    <w:rsid w:val="0077520F"/>
    <w:rsid w:val="00885901"/>
    <w:rsid w:val="008C4C7F"/>
    <w:rsid w:val="008E4050"/>
    <w:rsid w:val="008E6231"/>
    <w:rsid w:val="009100BC"/>
    <w:rsid w:val="009C4D39"/>
    <w:rsid w:val="00A058BF"/>
    <w:rsid w:val="00A158BB"/>
    <w:rsid w:val="00AD5E68"/>
    <w:rsid w:val="00AF475E"/>
    <w:rsid w:val="00BF217B"/>
    <w:rsid w:val="00C113C8"/>
    <w:rsid w:val="00C11777"/>
    <w:rsid w:val="00C51930"/>
    <w:rsid w:val="00C926A0"/>
    <w:rsid w:val="00D01F8F"/>
    <w:rsid w:val="00D53666"/>
    <w:rsid w:val="00D935DA"/>
    <w:rsid w:val="00E1110C"/>
    <w:rsid w:val="00F8735B"/>
    <w:rsid w:val="00FD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A7F9"/>
  <w15:chartTrackingRefBased/>
  <w15:docId w15:val="{2309191C-1956-406E-A602-D6A0B209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6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564"/>
    <w:pPr>
      <w:tabs>
        <w:tab w:val="center" w:pos="4680"/>
        <w:tab w:val="right" w:pos="9360"/>
      </w:tabs>
    </w:pPr>
  </w:style>
  <w:style w:type="character" w:customStyle="1" w:styleId="HeaderChar">
    <w:name w:val="Header Char"/>
    <w:basedOn w:val="DefaultParagraphFont"/>
    <w:link w:val="Header"/>
    <w:uiPriority w:val="99"/>
    <w:rsid w:val="005A3564"/>
    <w:rPr>
      <w:sz w:val="24"/>
      <w:szCs w:val="24"/>
    </w:rPr>
  </w:style>
  <w:style w:type="paragraph" w:styleId="Footer">
    <w:name w:val="footer"/>
    <w:basedOn w:val="Normal"/>
    <w:link w:val="FooterChar"/>
    <w:uiPriority w:val="99"/>
    <w:unhideWhenUsed/>
    <w:rsid w:val="005A3564"/>
    <w:pPr>
      <w:tabs>
        <w:tab w:val="center" w:pos="4680"/>
        <w:tab w:val="right" w:pos="9360"/>
      </w:tabs>
    </w:pPr>
  </w:style>
  <w:style w:type="character" w:customStyle="1" w:styleId="FooterChar">
    <w:name w:val="Footer Char"/>
    <w:basedOn w:val="DefaultParagraphFont"/>
    <w:link w:val="Footer"/>
    <w:uiPriority w:val="99"/>
    <w:rsid w:val="005A3564"/>
    <w:rPr>
      <w:sz w:val="24"/>
      <w:szCs w:val="24"/>
    </w:rPr>
  </w:style>
  <w:style w:type="paragraph" w:styleId="ListParagraph">
    <w:name w:val="List Paragraph"/>
    <w:basedOn w:val="Normal"/>
    <w:uiPriority w:val="34"/>
    <w:qFormat/>
    <w:rsid w:val="00D53666"/>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Bellach</dc:creator>
  <cp:keywords/>
  <dc:description/>
  <cp:lastModifiedBy>Jennifer Randolph</cp:lastModifiedBy>
  <cp:revision>34</cp:revision>
  <dcterms:created xsi:type="dcterms:W3CDTF">2023-05-03T17:05:00Z</dcterms:created>
  <dcterms:modified xsi:type="dcterms:W3CDTF">2023-06-02T18:19:00Z</dcterms:modified>
</cp:coreProperties>
</file>